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6B" w:rsidRPr="00456761" w:rsidRDefault="00B1696B" w:rsidP="00B1696B">
      <w:pPr>
        <w:spacing w:line="360" w:lineRule="auto"/>
        <w:jc w:val="right"/>
        <w:rPr>
          <w:rFonts w:ascii="Century Schoolbook" w:hAnsi="Century Schoolbook"/>
          <w:b/>
          <w:bCs/>
          <w:sz w:val="52"/>
          <w:szCs w:val="52"/>
          <w:lang w:val="es-ES_tradnl"/>
        </w:rPr>
      </w:pPr>
    </w:p>
    <w:p w:rsidR="00B1696B" w:rsidRPr="00456761" w:rsidRDefault="00B1696B" w:rsidP="00B1696B">
      <w:pPr>
        <w:spacing w:line="360" w:lineRule="auto"/>
        <w:jc w:val="right"/>
        <w:rPr>
          <w:rFonts w:ascii="Century Schoolbook" w:hAnsi="Century Schoolbook"/>
          <w:b/>
          <w:bCs/>
          <w:sz w:val="52"/>
          <w:szCs w:val="52"/>
          <w:lang w:val="es-ES_tradnl"/>
        </w:rPr>
      </w:pPr>
    </w:p>
    <w:p w:rsidR="00B1696B" w:rsidRPr="00456761" w:rsidRDefault="00B1696B" w:rsidP="00B1696B">
      <w:pPr>
        <w:spacing w:line="360" w:lineRule="auto"/>
        <w:jc w:val="right"/>
        <w:rPr>
          <w:rFonts w:ascii="Century Schoolbook" w:hAnsi="Century Schoolbook"/>
          <w:b/>
          <w:bCs/>
          <w:sz w:val="52"/>
          <w:szCs w:val="52"/>
          <w:lang w:val="es-ES_tradnl"/>
        </w:rPr>
      </w:pPr>
    </w:p>
    <w:p w:rsidR="00B1696B" w:rsidRPr="00456761" w:rsidRDefault="00B1696B" w:rsidP="00B1696B">
      <w:pPr>
        <w:spacing w:line="360" w:lineRule="auto"/>
        <w:jc w:val="right"/>
        <w:rPr>
          <w:rFonts w:ascii="Century Schoolbook" w:hAnsi="Century Schoolbook"/>
          <w:b/>
          <w:bCs/>
          <w:sz w:val="52"/>
          <w:szCs w:val="52"/>
          <w:lang w:val="es-ES_tradnl"/>
        </w:rPr>
      </w:pPr>
    </w:p>
    <w:p w:rsidR="00B1696B" w:rsidRPr="00456761" w:rsidRDefault="00B1696B" w:rsidP="00B1696B">
      <w:pPr>
        <w:spacing w:line="360" w:lineRule="auto"/>
        <w:jc w:val="right"/>
        <w:rPr>
          <w:rFonts w:ascii="Century Schoolbook" w:hAnsi="Century Schoolbook"/>
          <w:b/>
          <w:bCs/>
          <w:sz w:val="52"/>
          <w:szCs w:val="52"/>
          <w:lang w:val="es-ES_tradnl"/>
        </w:rPr>
      </w:pPr>
    </w:p>
    <w:p w:rsidR="00B1696B" w:rsidRPr="00456761" w:rsidRDefault="00B1696B" w:rsidP="00B1696B">
      <w:pPr>
        <w:spacing w:line="360" w:lineRule="auto"/>
        <w:jc w:val="right"/>
        <w:rPr>
          <w:rFonts w:ascii="Century Schoolbook" w:hAnsi="Century Schoolbook"/>
          <w:b/>
          <w:bCs/>
          <w:sz w:val="52"/>
          <w:szCs w:val="52"/>
          <w:lang w:val="es-ES_tradnl"/>
        </w:rPr>
      </w:pPr>
      <w:r w:rsidRPr="00456761">
        <w:rPr>
          <w:rFonts w:ascii="Century Schoolbook" w:hAnsi="Century Schoolbook"/>
          <w:b/>
          <w:bCs/>
          <w:sz w:val="52"/>
          <w:szCs w:val="52"/>
          <w:lang w:val="es-ES_tradnl"/>
        </w:rPr>
        <w:t>Informe sobre el</w:t>
      </w:r>
    </w:p>
    <w:p w:rsidR="00B1696B" w:rsidRPr="00456761" w:rsidRDefault="00B1696B" w:rsidP="00B1696B">
      <w:pPr>
        <w:spacing w:line="360" w:lineRule="auto"/>
        <w:jc w:val="right"/>
        <w:rPr>
          <w:rFonts w:ascii="Century Schoolbook" w:hAnsi="Century Schoolbook"/>
          <w:b/>
          <w:bCs/>
          <w:sz w:val="52"/>
          <w:szCs w:val="52"/>
          <w:lang w:val="es-ES_tradnl"/>
        </w:rPr>
      </w:pPr>
      <w:proofErr w:type="gramStart"/>
      <w:r w:rsidRPr="00456761">
        <w:rPr>
          <w:rFonts w:ascii="Century Schoolbook" w:hAnsi="Century Schoolbook"/>
          <w:b/>
          <w:bCs/>
          <w:sz w:val="52"/>
          <w:szCs w:val="52"/>
          <w:lang w:val="es-ES_tradnl"/>
        </w:rPr>
        <w:t>sector</w:t>
      </w:r>
      <w:proofErr w:type="gramEnd"/>
      <w:r w:rsidRPr="00456761">
        <w:rPr>
          <w:rFonts w:ascii="Century Schoolbook" w:hAnsi="Century Schoolbook"/>
          <w:b/>
          <w:bCs/>
          <w:sz w:val="52"/>
          <w:szCs w:val="52"/>
          <w:lang w:val="es-ES_tradnl"/>
        </w:rPr>
        <w:t xml:space="preserve"> editorial español</w:t>
      </w:r>
    </w:p>
    <w:p w:rsidR="00B1696B" w:rsidRPr="00456761" w:rsidRDefault="00B1696B" w:rsidP="00B1696B">
      <w:pPr>
        <w:spacing w:line="360" w:lineRule="auto"/>
        <w:jc w:val="right"/>
        <w:rPr>
          <w:rFonts w:ascii="Century Schoolbook" w:hAnsi="Century Schoolbook"/>
          <w:b/>
          <w:bCs/>
          <w:sz w:val="52"/>
          <w:szCs w:val="52"/>
          <w:lang w:val="es-ES_tradnl"/>
        </w:rPr>
      </w:pPr>
      <w:r w:rsidRPr="00456761">
        <w:rPr>
          <w:rFonts w:ascii="Century Schoolbook" w:hAnsi="Century Schoolbook"/>
          <w:b/>
          <w:bCs/>
          <w:sz w:val="52"/>
          <w:szCs w:val="52"/>
          <w:lang w:val="es-ES_tradnl"/>
        </w:rPr>
        <w:t>Año 2015</w:t>
      </w:r>
    </w:p>
    <w:p w:rsidR="00B1696B" w:rsidRPr="00456761" w:rsidRDefault="00B1696B" w:rsidP="00B1696B">
      <w:pPr>
        <w:spacing w:line="360" w:lineRule="auto"/>
        <w:jc w:val="right"/>
        <w:rPr>
          <w:rFonts w:ascii="Century Schoolbook" w:hAnsi="Century Schoolbook"/>
          <w:bCs/>
          <w:sz w:val="52"/>
          <w:szCs w:val="52"/>
          <w:lang w:val="es-ES_tradnl"/>
        </w:rPr>
      </w:pPr>
    </w:p>
    <w:p w:rsidR="00B1696B" w:rsidRPr="00456761" w:rsidRDefault="00B1696B" w:rsidP="00B1696B">
      <w:pPr>
        <w:spacing w:line="360" w:lineRule="auto"/>
        <w:jc w:val="right"/>
        <w:rPr>
          <w:rFonts w:ascii="Century Schoolbook" w:hAnsi="Century Schoolbook"/>
          <w:bCs/>
          <w:sz w:val="52"/>
          <w:szCs w:val="52"/>
          <w:lang w:val="es-ES_tradnl"/>
        </w:rPr>
      </w:pPr>
    </w:p>
    <w:p w:rsidR="00B1696B" w:rsidRPr="00456761" w:rsidRDefault="00B1696B" w:rsidP="00B1696B">
      <w:pPr>
        <w:spacing w:line="360" w:lineRule="auto"/>
        <w:jc w:val="right"/>
        <w:rPr>
          <w:rFonts w:ascii="Century Schoolbook" w:hAnsi="Century Schoolbook"/>
          <w:bCs/>
          <w:sz w:val="52"/>
          <w:szCs w:val="52"/>
          <w:lang w:val="es-ES_tradnl"/>
        </w:rPr>
      </w:pPr>
    </w:p>
    <w:p w:rsidR="00B1696B" w:rsidRPr="00456761" w:rsidRDefault="00B1696B" w:rsidP="00B1696B">
      <w:pPr>
        <w:spacing w:line="360" w:lineRule="auto"/>
        <w:jc w:val="right"/>
        <w:rPr>
          <w:rFonts w:ascii="Century Schoolbook" w:hAnsi="Century Schoolbook"/>
          <w:bCs/>
          <w:sz w:val="52"/>
          <w:szCs w:val="52"/>
          <w:lang w:val="es-ES_tradnl"/>
        </w:rPr>
      </w:pPr>
    </w:p>
    <w:p w:rsidR="00B1696B" w:rsidRPr="00456761" w:rsidRDefault="00B1696B" w:rsidP="00B1696B">
      <w:pPr>
        <w:jc w:val="right"/>
        <w:rPr>
          <w:rFonts w:ascii="Century Schoolbook" w:hAnsi="Century Schoolbook"/>
          <w:bCs/>
          <w:sz w:val="36"/>
          <w:szCs w:val="36"/>
          <w:lang w:val="es-ES_tradnl"/>
        </w:rPr>
      </w:pPr>
      <w:r w:rsidRPr="00456761">
        <w:rPr>
          <w:rFonts w:ascii="Century Schoolbook" w:hAnsi="Century Schoolbook"/>
          <w:bCs/>
          <w:sz w:val="36"/>
          <w:szCs w:val="36"/>
          <w:lang w:val="es-ES_tradnl"/>
        </w:rPr>
        <w:t xml:space="preserve">Federación de Gremios de </w:t>
      </w:r>
    </w:p>
    <w:p w:rsidR="00B1696B" w:rsidRPr="00456761" w:rsidRDefault="00B1696B" w:rsidP="00B1696B">
      <w:pPr>
        <w:jc w:val="right"/>
        <w:rPr>
          <w:rFonts w:ascii="Century Schoolbook" w:hAnsi="Century Schoolbook"/>
          <w:bCs/>
          <w:sz w:val="36"/>
          <w:szCs w:val="36"/>
          <w:lang w:val="es-ES_tradnl"/>
        </w:rPr>
      </w:pPr>
      <w:r w:rsidRPr="00456761">
        <w:rPr>
          <w:rFonts w:ascii="Century Schoolbook" w:hAnsi="Century Schoolbook"/>
          <w:bCs/>
          <w:sz w:val="36"/>
          <w:szCs w:val="36"/>
          <w:lang w:val="es-ES_tradnl"/>
        </w:rPr>
        <w:t>Editores de España</w:t>
      </w:r>
    </w:p>
    <w:p w:rsidR="00B1696B" w:rsidRPr="00456761" w:rsidRDefault="00B1696B" w:rsidP="00B1696B">
      <w:pPr>
        <w:spacing w:line="360" w:lineRule="auto"/>
        <w:jc w:val="right"/>
        <w:rPr>
          <w:rFonts w:ascii="Century Schoolbook" w:hAnsi="Century Schoolbook"/>
          <w:bCs/>
          <w:sz w:val="36"/>
          <w:szCs w:val="36"/>
          <w:lang w:val="es-ES_tradnl"/>
        </w:rPr>
      </w:pPr>
    </w:p>
    <w:p w:rsidR="00B1696B" w:rsidRPr="00456761" w:rsidRDefault="00B1696B" w:rsidP="00B1696B">
      <w:pPr>
        <w:spacing w:line="360" w:lineRule="auto"/>
        <w:jc w:val="right"/>
        <w:rPr>
          <w:rFonts w:ascii="Century Schoolbook" w:hAnsi="Century Schoolbook"/>
          <w:bCs/>
          <w:sz w:val="36"/>
          <w:szCs w:val="36"/>
          <w:lang w:val="es-ES_tradnl"/>
        </w:rPr>
      </w:pPr>
      <w:r w:rsidRPr="00456761">
        <w:rPr>
          <w:rFonts w:ascii="Century Schoolbook" w:hAnsi="Century Schoolbook"/>
          <w:bCs/>
          <w:sz w:val="36"/>
          <w:szCs w:val="36"/>
          <w:lang w:val="es-ES_tradnl"/>
        </w:rPr>
        <w:t>Enero 2017</w:t>
      </w:r>
    </w:p>
    <w:p w:rsidR="00B1696B" w:rsidRPr="00456761" w:rsidRDefault="00B1696B" w:rsidP="00B1696B">
      <w:pPr>
        <w:spacing w:line="360" w:lineRule="auto"/>
        <w:jc w:val="right"/>
        <w:rPr>
          <w:rFonts w:ascii="Century Schoolbook" w:hAnsi="Century Schoolbook"/>
          <w:bCs/>
          <w:sz w:val="36"/>
          <w:szCs w:val="36"/>
          <w:lang w:val="es-ES_tradnl"/>
        </w:rPr>
      </w:pPr>
    </w:p>
    <w:p w:rsidR="00B1696B" w:rsidRPr="00456761" w:rsidRDefault="00B1696B" w:rsidP="00B1696B">
      <w:pPr>
        <w:spacing w:line="360" w:lineRule="auto"/>
        <w:jc w:val="right"/>
        <w:rPr>
          <w:rFonts w:ascii="Century Schoolbook" w:hAnsi="Century Schoolbook"/>
          <w:b/>
          <w:bCs/>
          <w:u w:val="single"/>
          <w:lang w:val="es-ES_tradnl"/>
        </w:rPr>
      </w:pPr>
      <w:r w:rsidRPr="00456761">
        <w:rPr>
          <w:rFonts w:ascii="Century Schoolbook" w:hAnsi="Century Schoolbook"/>
          <w:b/>
          <w:bCs/>
          <w:sz w:val="36"/>
          <w:szCs w:val="36"/>
          <w:u w:val="single"/>
          <w:lang w:val="es-ES_tradnl"/>
        </w:rPr>
        <w:lastRenderedPageBreak/>
        <w:t>Comercio Interior del Libro</w:t>
      </w:r>
    </w:p>
    <w:p w:rsidR="00456761" w:rsidRDefault="00B1696B" w:rsidP="00B1696B">
      <w:pPr>
        <w:spacing w:line="360" w:lineRule="auto"/>
        <w:jc w:val="both"/>
        <w:rPr>
          <w:rFonts w:ascii="Century Schoolbook" w:hAnsi="Century Schoolbook"/>
        </w:rPr>
      </w:pPr>
      <w:r w:rsidRPr="00456761">
        <w:rPr>
          <w:rFonts w:ascii="Century Schoolbook" w:hAnsi="Century Schoolbook"/>
        </w:rPr>
        <w:t xml:space="preserve">En el año 2016, la Federación de Gremios de Editores de España volvió a realizar el estudio sobre el comercio interior del libro en España. Esta edición, la número veintisiete, recoge los datos de edición y facturación de las empresas editoriales privadas y agremiadas en España, referidos al ejercicio económico de 2015. </w:t>
      </w:r>
    </w:p>
    <w:p w:rsidR="00456761" w:rsidRDefault="00456761" w:rsidP="00B1696B">
      <w:pPr>
        <w:spacing w:line="360" w:lineRule="auto"/>
        <w:jc w:val="both"/>
        <w:rPr>
          <w:rFonts w:ascii="Century Schoolbook" w:hAnsi="Century Schoolbook"/>
        </w:rPr>
      </w:pPr>
    </w:p>
    <w:p w:rsidR="00B1696B" w:rsidRDefault="00456761" w:rsidP="00B1696B">
      <w:pPr>
        <w:spacing w:line="360" w:lineRule="auto"/>
        <w:jc w:val="both"/>
        <w:rPr>
          <w:rFonts w:ascii="Century Schoolbook" w:hAnsi="Century Schoolbook"/>
        </w:rPr>
      </w:pPr>
      <w:r>
        <w:rPr>
          <w:rFonts w:ascii="Century Schoolbook" w:hAnsi="Century Schoolbook"/>
        </w:rPr>
        <w:t>En el informe</w:t>
      </w:r>
      <w:r w:rsidR="00B1696B" w:rsidRPr="00456761">
        <w:rPr>
          <w:rFonts w:ascii="Century Schoolbook" w:hAnsi="Century Schoolbook"/>
        </w:rPr>
        <w:t xml:space="preserve"> se trata de reflejar la situación actual del mercado editorial y la evolución y tendencias de los pri</w:t>
      </w:r>
      <w:r>
        <w:rPr>
          <w:rFonts w:ascii="Century Schoolbook" w:hAnsi="Century Schoolbook"/>
        </w:rPr>
        <w:t>ncipales indicadores del sector a partir de los datos obtenidos mediante una explotación sistemática de los cuestionarios base cumplimentados por las editoriales  (cifra de facturación por la venta de libros en el mercado interior, oferta de libros y su comercialización, empleo del sector, distribución geográfica de la producción, lengua de edición, precio de los libros, canales de comercialización, etc.).</w:t>
      </w:r>
    </w:p>
    <w:p w:rsidR="00456761" w:rsidRDefault="00456761" w:rsidP="00B1696B">
      <w:pPr>
        <w:spacing w:line="360" w:lineRule="auto"/>
        <w:jc w:val="both"/>
        <w:rPr>
          <w:rFonts w:ascii="Century Schoolbook" w:hAnsi="Century Schoolbook"/>
        </w:rPr>
      </w:pPr>
    </w:p>
    <w:p w:rsidR="00456761" w:rsidRDefault="00456761" w:rsidP="00B1696B">
      <w:pPr>
        <w:spacing w:line="360" w:lineRule="auto"/>
        <w:jc w:val="both"/>
        <w:rPr>
          <w:rFonts w:ascii="Century Schoolbook" w:hAnsi="Century Schoolbook"/>
        </w:rPr>
      </w:pPr>
      <w:r>
        <w:rPr>
          <w:rFonts w:ascii="Century Schoolbook" w:hAnsi="Century Schoolbook"/>
        </w:rPr>
        <w:t>El resumen de los datos básicos del estudio son los siguientes:</w:t>
      </w:r>
    </w:p>
    <w:p w:rsidR="00456761" w:rsidRDefault="00456761" w:rsidP="00B1696B">
      <w:pPr>
        <w:spacing w:line="360" w:lineRule="auto"/>
        <w:jc w:val="both"/>
        <w:rPr>
          <w:rFonts w:ascii="Century Schoolbook" w:hAnsi="Century Schoolbook"/>
        </w:rPr>
      </w:pPr>
    </w:p>
    <w:tbl>
      <w:tblPr>
        <w:tblW w:w="7583" w:type="dxa"/>
        <w:jc w:val="center"/>
        <w:tblCellMar>
          <w:left w:w="70" w:type="dxa"/>
          <w:right w:w="70" w:type="dxa"/>
        </w:tblCellMar>
        <w:tblLook w:val="04A0" w:firstRow="1" w:lastRow="0" w:firstColumn="1" w:lastColumn="0" w:noHBand="0" w:noVBand="1"/>
      </w:tblPr>
      <w:tblGrid>
        <w:gridCol w:w="4551"/>
        <w:gridCol w:w="1189"/>
        <w:gridCol w:w="1843"/>
      </w:tblGrid>
      <w:tr w:rsidR="00456761" w:rsidRPr="00456761" w:rsidTr="000E59CD">
        <w:trPr>
          <w:trHeight w:val="491"/>
          <w:jc w:val="center"/>
        </w:trPr>
        <w:tc>
          <w:tcPr>
            <w:tcW w:w="4551" w:type="dxa"/>
            <w:tcBorders>
              <w:bottom w:val="single" w:sz="4" w:space="0" w:color="auto"/>
              <w:right w:val="single" w:sz="4" w:space="0" w:color="auto"/>
            </w:tcBorders>
            <w:shd w:val="clear" w:color="auto" w:fill="auto"/>
            <w:noWrap/>
            <w:vAlign w:val="bottom"/>
          </w:tcPr>
          <w:p w:rsidR="00456761" w:rsidRPr="00456761" w:rsidRDefault="00456761" w:rsidP="00456761">
            <w:pPr>
              <w:spacing w:line="360" w:lineRule="auto"/>
              <w:rPr>
                <w:rFonts w:ascii="Century Schoolbook" w:hAnsi="Century Schoolbook"/>
                <w:color w:val="FF0000"/>
                <w:sz w:val="18"/>
                <w:szCs w:val="18"/>
              </w:rPr>
            </w:pPr>
            <w:r w:rsidRPr="00456761">
              <w:rPr>
                <w:rFonts w:ascii="Century Schoolbook" w:hAnsi="Century Schoolbook"/>
                <w:color w:val="FF0000"/>
                <w:sz w:val="18"/>
                <w:szCs w:val="18"/>
              </w:rPr>
              <w:t> </w:t>
            </w:r>
          </w:p>
        </w:tc>
        <w:tc>
          <w:tcPr>
            <w:tcW w:w="118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56761" w:rsidRPr="00456761" w:rsidRDefault="00456761" w:rsidP="00456761">
            <w:pPr>
              <w:spacing w:line="360" w:lineRule="auto"/>
              <w:rPr>
                <w:rFonts w:ascii="Century Schoolbook" w:hAnsi="Century Schoolbook"/>
                <w:bCs/>
                <w:color w:val="FFFFFF" w:themeColor="background1"/>
                <w:sz w:val="18"/>
                <w:szCs w:val="18"/>
              </w:rPr>
            </w:pPr>
            <w:r w:rsidRPr="00456761">
              <w:rPr>
                <w:rFonts w:ascii="Century Schoolbook" w:hAnsi="Century Schoolbook"/>
                <w:bCs/>
                <w:color w:val="FFFFFF" w:themeColor="background1"/>
                <w:sz w:val="18"/>
                <w:szCs w:val="18"/>
              </w:rPr>
              <w:t>2015</w:t>
            </w:r>
          </w:p>
        </w:tc>
        <w:tc>
          <w:tcPr>
            <w:tcW w:w="184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56761" w:rsidRPr="00456761" w:rsidRDefault="00456761" w:rsidP="00456761">
            <w:pPr>
              <w:spacing w:line="360" w:lineRule="auto"/>
              <w:rPr>
                <w:rFonts w:ascii="Century Schoolbook" w:hAnsi="Century Schoolbook"/>
                <w:bCs/>
                <w:color w:val="FFFFFF" w:themeColor="background1"/>
                <w:sz w:val="18"/>
                <w:szCs w:val="18"/>
              </w:rPr>
            </w:pPr>
            <w:r w:rsidRPr="00456761">
              <w:rPr>
                <w:rFonts w:ascii="Century Schoolbook" w:hAnsi="Century Schoolbook"/>
                <w:bCs/>
                <w:color w:val="FFFFFF" w:themeColor="background1"/>
                <w:sz w:val="18"/>
                <w:szCs w:val="18"/>
              </w:rPr>
              <w:t>%    2015/2014</w:t>
            </w:r>
          </w:p>
        </w:tc>
      </w:tr>
      <w:tr w:rsidR="00456761" w:rsidRPr="00456761" w:rsidTr="000E59CD">
        <w:trPr>
          <w:trHeight w:val="255"/>
          <w:jc w:val="center"/>
        </w:trPr>
        <w:tc>
          <w:tcPr>
            <w:tcW w:w="4551" w:type="dxa"/>
            <w:tcBorders>
              <w:top w:val="single" w:sz="4" w:space="0" w:color="auto"/>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Empresas editoriales privadas y agremiadas</w:t>
            </w:r>
          </w:p>
        </w:tc>
        <w:tc>
          <w:tcPr>
            <w:tcW w:w="1189" w:type="dxa"/>
            <w:tcBorders>
              <w:top w:val="single" w:sz="4" w:space="0" w:color="auto"/>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775</w:t>
            </w:r>
          </w:p>
        </w:tc>
        <w:tc>
          <w:tcPr>
            <w:tcW w:w="1843" w:type="dxa"/>
            <w:tcBorders>
              <w:top w:val="single" w:sz="4" w:space="0" w:color="auto"/>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0,9</w:t>
            </w:r>
          </w:p>
        </w:tc>
      </w:tr>
      <w:tr w:rsidR="00456761" w:rsidRPr="00456761" w:rsidTr="000E59CD">
        <w:trPr>
          <w:trHeight w:val="255"/>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Empleados (empleo directo)</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12.532</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1,0</w:t>
            </w:r>
          </w:p>
        </w:tc>
      </w:tr>
      <w:tr w:rsidR="00456761" w:rsidRPr="00456761" w:rsidTr="000E59CD">
        <w:trPr>
          <w:trHeight w:val="255"/>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Títulos editados (incluidas las reimpresiones)</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80.181</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2,1</w:t>
            </w:r>
          </w:p>
        </w:tc>
      </w:tr>
      <w:tr w:rsidR="00456761" w:rsidRPr="00456761" w:rsidTr="000E59CD">
        <w:trPr>
          <w:trHeight w:val="255"/>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Ejemplares producidos (miles)</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225.277</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-0,6</w:t>
            </w:r>
          </w:p>
        </w:tc>
      </w:tr>
      <w:tr w:rsidR="00456761" w:rsidRPr="00456761" w:rsidTr="000E59CD">
        <w:trPr>
          <w:trHeight w:val="255"/>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Tirada media (ejemplares/título)</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2.810</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-2,7</w:t>
            </w:r>
          </w:p>
        </w:tc>
      </w:tr>
      <w:tr w:rsidR="00456761" w:rsidRPr="00456761" w:rsidTr="000E59CD">
        <w:trPr>
          <w:trHeight w:val="255"/>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Títulos vivos en oferta</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586.811</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5,9</w:t>
            </w:r>
          </w:p>
        </w:tc>
      </w:tr>
      <w:tr w:rsidR="00456761" w:rsidRPr="00456761" w:rsidTr="000E59CD">
        <w:trPr>
          <w:trHeight w:val="213"/>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lang w:val="es-ES_tradnl"/>
              </w:rPr>
              <w:t>Facturación mercado interior (PVP) (</w:t>
            </w:r>
            <w:proofErr w:type="spellStart"/>
            <w:r w:rsidRPr="00456761">
              <w:rPr>
                <w:rFonts w:ascii="Century Schoolbook" w:hAnsi="Century Schoolbook"/>
                <w:sz w:val="18"/>
                <w:szCs w:val="18"/>
                <w:lang w:val="es-ES_tradnl"/>
              </w:rPr>
              <w:t>mill</w:t>
            </w:r>
            <w:proofErr w:type="spellEnd"/>
            <w:r w:rsidRPr="00456761">
              <w:rPr>
                <w:rFonts w:ascii="Century Schoolbook" w:hAnsi="Century Schoolbook"/>
                <w:sz w:val="18"/>
                <w:szCs w:val="18"/>
                <w:lang w:val="es-ES_tradnl"/>
              </w:rPr>
              <w:t>. Euros)</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2.257,07</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2,8</w:t>
            </w:r>
          </w:p>
        </w:tc>
      </w:tr>
      <w:tr w:rsidR="00456761" w:rsidRPr="00456761" w:rsidTr="000E59CD">
        <w:trPr>
          <w:trHeight w:val="240"/>
          <w:jc w:val="center"/>
        </w:trPr>
        <w:tc>
          <w:tcPr>
            <w:tcW w:w="4551" w:type="dxa"/>
            <w:tcBorders>
              <w:top w:val="nil"/>
              <w:left w:val="single" w:sz="4" w:space="0" w:color="auto"/>
              <w:bottom w:val="nil"/>
              <w:right w:val="single" w:sz="4" w:space="0" w:color="auto"/>
            </w:tcBorders>
            <w:shd w:val="clear" w:color="auto" w:fill="auto"/>
            <w:noWrap/>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Facturación neta mercado interior (</w:t>
            </w:r>
            <w:proofErr w:type="spellStart"/>
            <w:r w:rsidRPr="00456761">
              <w:rPr>
                <w:rFonts w:ascii="Century Schoolbook" w:hAnsi="Century Schoolbook"/>
                <w:sz w:val="18"/>
                <w:szCs w:val="18"/>
              </w:rPr>
              <w:t>mill</w:t>
            </w:r>
            <w:proofErr w:type="spellEnd"/>
            <w:r w:rsidRPr="00456761">
              <w:rPr>
                <w:rFonts w:ascii="Century Schoolbook" w:hAnsi="Century Schoolbook"/>
                <w:sz w:val="18"/>
                <w:szCs w:val="18"/>
              </w:rPr>
              <w:t>. Euros)</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1.573,44</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3,7</w:t>
            </w:r>
          </w:p>
        </w:tc>
      </w:tr>
      <w:tr w:rsidR="00456761" w:rsidRPr="00456761" w:rsidTr="000E59CD">
        <w:trPr>
          <w:trHeight w:val="255"/>
          <w:jc w:val="center"/>
        </w:trPr>
        <w:tc>
          <w:tcPr>
            <w:tcW w:w="4551" w:type="dxa"/>
            <w:tcBorders>
              <w:top w:val="nil"/>
              <w:left w:val="single" w:sz="4" w:space="0" w:color="auto"/>
              <w:bottom w:val="nil"/>
              <w:right w:val="single" w:sz="4" w:space="0" w:color="auto"/>
            </w:tcBorders>
            <w:shd w:val="clear" w:color="auto" w:fill="auto"/>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lang w:val="es-ES_tradnl"/>
              </w:rPr>
              <w:t>Ejemplares vendidos (miles)</w:t>
            </w:r>
          </w:p>
        </w:tc>
        <w:tc>
          <w:tcPr>
            <w:tcW w:w="1189"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155.436</w:t>
            </w:r>
          </w:p>
        </w:tc>
        <w:tc>
          <w:tcPr>
            <w:tcW w:w="1843" w:type="dxa"/>
            <w:tcBorders>
              <w:top w:val="nil"/>
              <w:left w:val="single" w:sz="4" w:space="0" w:color="auto"/>
              <w:bottom w:val="nil"/>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1,2</w:t>
            </w:r>
          </w:p>
        </w:tc>
      </w:tr>
      <w:tr w:rsidR="00456761" w:rsidRPr="00456761" w:rsidTr="000E59CD">
        <w:trPr>
          <w:trHeight w:val="240"/>
          <w:jc w:val="center"/>
        </w:trPr>
        <w:tc>
          <w:tcPr>
            <w:tcW w:w="4551" w:type="dxa"/>
            <w:tcBorders>
              <w:top w:val="nil"/>
              <w:left w:val="single" w:sz="4" w:space="0" w:color="auto"/>
              <w:bottom w:val="single" w:sz="4" w:space="0" w:color="auto"/>
              <w:right w:val="single" w:sz="4" w:space="0" w:color="auto"/>
            </w:tcBorders>
            <w:shd w:val="clear" w:color="auto" w:fill="auto"/>
            <w:noWrap/>
            <w:vAlign w:val="bottom"/>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 xml:space="preserve">Precios medios </w:t>
            </w:r>
          </w:p>
        </w:tc>
        <w:tc>
          <w:tcPr>
            <w:tcW w:w="1189" w:type="dxa"/>
            <w:tcBorders>
              <w:top w:val="nil"/>
              <w:left w:val="single" w:sz="4" w:space="0" w:color="auto"/>
              <w:bottom w:val="single" w:sz="4" w:space="0" w:color="auto"/>
              <w:right w:val="single" w:sz="4" w:space="0" w:color="auto"/>
            </w:tcBorders>
            <w:shd w:val="clear" w:color="auto" w:fill="auto"/>
            <w:noWrap/>
            <w:vAlign w:val="center"/>
          </w:tcPr>
          <w:p w:rsidR="00456761" w:rsidRPr="00456761" w:rsidRDefault="00456761" w:rsidP="00456761">
            <w:pPr>
              <w:spacing w:line="360" w:lineRule="auto"/>
              <w:jc w:val="right"/>
              <w:rPr>
                <w:rFonts w:ascii="Century Schoolbook" w:hAnsi="Century Schoolbook"/>
                <w:b/>
                <w:sz w:val="18"/>
                <w:szCs w:val="18"/>
              </w:rPr>
            </w:pPr>
            <w:r w:rsidRPr="00456761">
              <w:rPr>
                <w:rFonts w:ascii="Century Schoolbook" w:hAnsi="Century Schoolbook"/>
                <w:b/>
                <w:sz w:val="18"/>
                <w:szCs w:val="18"/>
              </w:rPr>
              <w:t>14,52</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456761" w:rsidRPr="00456761" w:rsidRDefault="00456761" w:rsidP="00456761">
            <w:pPr>
              <w:spacing w:line="360" w:lineRule="auto"/>
              <w:rPr>
                <w:rFonts w:ascii="Century Schoolbook" w:hAnsi="Century Schoolbook"/>
                <w:sz w:val="18"/>
                <w:szCs w:val="18"/>
              </w:rPr>
            </w:pPr>
            <w:r w:rsidRPr="00456761">
              <w:rPr>
                <w:rFonts w:ascii="Century Schoolbook" w:hAnsi="Century Schoolbook"/>
                <w:sz w:val="18"/>
                <w:szCs w:val="18"/>
              </w:rPr>
              <w:t>1,6</w:t>
            </w:r>
          </w:p>
        </w:tc>
      </w:tr>
    </w:tbl>
    <w:p w:rsidR="00B1696B" w:rsidRPr="00456761" w:rsidRDefault="00B1696B" w:rsidP="00B1696B">
      <w:pPr>
        <w:pStyle w:val="Notaalpie"/>
        <w:spacing w:line="360" w:lineRule="auto"/>
        <w:rPr>
          <w:rFonts w:ascii="Century Schoolbook" w:hAnsi="Century Schoolbook"/>
          <w:color w:val="FF0000"/>
          <w:sz w:val="22"/>
          <w:szCs w:val="22"/>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Los datos obtenidos en 2015 parecen confirmar el cambio de tendencia observado en 2014 que anunciaba el inicio de la recuperación del sector editorial en España. En 2015 aumentó el número de empleos en el sector (un 1% más que en 2014).</w:t>
      </w: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lastRenderedPageBreak/>
        <w:t>A lo largo de 2015 se editaron 80.181 títulos (un 2,1% más que en 2014) y se produjeron 225.277.000 ejemplares (un 0,6% menos que en 2014), con una tirada media de 2.810 (un 2,7% menos que en 2014). Los ejemplares vendidos en este ejercicio han sido 155.436.000, lo que supone un incremento del 1,2% respecto a</w:t>
      </w:r>
      <w:r w:rsidR="000E59CD">
        <w:rPr>
          <w:rFonts w:ascii="Century Schoolbook" w:hAnsi="Century Schoolbook"/>
        </w:rPr>
        <w:t>l</w:t>
      </w:r>
      <w:r w:rsidRPr="00456761">
        <w:rPr>
          <w:rFonts w:ascii="Century Schoolbook" w:hAnsi="Century Schoolbook"/>
        </w:rPr>
        <w:t xml:space="preserve"> </w:t>
      </w:r>
      <w:r w:rsidR="000E59CD">
        <w:rPr>
          <w:rFonts w:ascii="Century Schoolbook" w:hAnsi="Century Schoolbook"/>
        </w:rPr>
        <w:t xml:space="preserve">año </w:t>
      </w:r>
      <w:r w:rsidRPr="00456761">
        <w:rPr>
          <w:rFonts w:ascii="Century Schoolbook" w:hAnsi="Century Schoolbook"/>
        </w:rPr>
        <w:t>2014. El porcentaje de libros vendidos sobre libros producidos se sitúa en un 69%, casi 7 puntos más que en 2014 (62,4%).</w:t>
      </w:r>
    </w:p>
    <w:p w:rsidR="00B1696B" w:rsidRPr="00456761" w:rsidRDefault="00B1696B" w:rsidP="00B1696B">
      <w:pPr>
        <w:spacing w:line="360" w:lineRule="auto"/>
        <w:jc w:val="both"/>
        <w:rPr>
          <w:rFonts w:ascii="Century Schoolbook" w:hAnsi="Century Schoolbook"/>
        </w:rPr>
      </w:pPr>
    </w:p>
    <w:p w:rsidR="00B1696B" w:rsidRDefault="000E59CD" w:rsidP="00B1696B">
      <w:pPr>
        <w:spacing w:line="360" w:lineRule="auto"/>
        <w:jc w:val="both"/>
        <w:rPr>
          <w:rFonts w:ascii="Century Schoolbook" w:hAnsi="Century Schoolbook"/>
        </w:rPr>
      </w:pPr>
      <w:r>
        <w:rPr>
          <w:rFonts w:ascii="Century Schoolbook" w:hAnsi="Century Schoolbook"/>
        </w:rPr>
        <w:t>Asimismo, e</w:t>
      </w:r>
      <w:r w:rsidR="00B1696B" w:rsidRPr="00456761">
        <w:rPr>
          <w:rFonts w:ascii="Century Schoolbook" w:hAnsi="Century Schoolbook"/>
        </w:rPr>
        <w:t>l sector editorial incrementó su facturación hasta los 2.257 millones de euros</w:t>
      </w:r>
      <w:r>
        <w:rPr>
          <w:rFonts w:ascii="Century Schoolbook" w:hAnsi="Century Schoolbook"/>
        </w:rPr>
        <w:t xml:space="preserve"> y e</w:t>
      </w:r>
      <w:r w:rsidR="00B1696B" w:rsidRPr="00456761">
        <w:rPr>
          <w:rFonts w:ascii="Century Schoolbook" w:hAnsi="Century Schoolbook"/>
        </w:rPr>
        <w:t>l precio medio del ejemplar se situó en 14,52 euros, frente a los 14,29 de 2014.</w:t>
      </w:r>
    </w:p>
    <w:p w:rsidR="000E59CD" w:rsidRPr="00456761" w:rsidRDefault="000E59CD" w:rsidP="00B1696B">
      <w:pPr>
        <w:spacing w:line="360" w:lineRule="auto"/>
        <w:jc w:val="both"/>
        <w:rPr>
          <w:rFonts w:ascii="Century Schoolbook" w:hAnsi="Century Schoolbook"/>
        </w:rPr>
      </w:pPr>
    </w:p>
    <w:p w:rsidR="00AB4875" w:rsidRPr="00456761" w:rsidRDefault="00AB4875" w:rsidP="00AB4875">
      <w:pPr>
        <w:spacing w:line="360" w:lineRule="auto"/>
        <w:jc w:val="both"/>
        <w:rPr>
          <w:rFonts w:ascii="Century Schoolbook" w:hAnsi="Century Schoolbook"/>
        </w:rPr>
      </w:pPr>
      <w:r w:rsidRPr="00456761">
        <w:rPr>
          <w:rFonts w:ascii="Century Schoolbook" w:hAnsi="Century Schoolbook"/>
        </w:rPr>
        <w:t>Por gremios, Madrid</w:t>
      </w:r>
      <w:r w:rsidR="00E62CC9">
        <w:rPr>
          <w:rFonts w:ascii="Century Schoolbook" w:hAnsi="Century Schoolbook"/>
        </w:rPr>
        <w:t>,</w:t>
      </w:r>
      <w:r w:rsidRPr="00456761">
        <w:rPr>
          <w:rFonts w:ascii="Century Schoolbook" w:hAnsi="Century Schoolbook"/>
        </w:rPr>
        <w:t xml:space="preserve"> con un 43,4%</w:t>
      </w:r>
      <w:r w:rsidR="00E62CC9">
        <w:rPr>
          <w:rFonts w:ascii="Century Schoolbook" w:hAnsi="Century Schoolbook"/>
        </w:rPr>
        <w:t>,</w:t>
      </w:r>
      <w:r w:rsidRPr="00456761">
        <w:rPr>
          <w:rFonts w:ascii="Century Schoolbook" w:hAnsi="Century Schoolbook"/>
        </w:rPr>
        <w:t xml:space="preserve"> y Cataluña</w:t>
      </w:r>
      <w:r w:rsidR="00E62CC9">
        <w:rPr>
          <w:rFonts w:ascii="Century Schoolbook" w:hAnsi="Century Schoolbook"/>
        </w:rPr>
        <w:t>,</w:t>
      </w:r>
      <w:r w:rsidRPr="00456761">
        <w:rPr>
          <w:rFonts w:ascii="Century Schoolbook" w:hAnsi="Century Schoolbook"/>
        </w:rPr>
        <w:t xml:space="preserve"> con el 49,5%</w:t>
      </w:r>
      <w:r w:rsidR="00E62CC9">
        <w:rPr>
          <w:rFonts w:ascii="Century Schoolbook" w:hAnsi="Century Schoolbook"/>
        </w:rPr>
        <w:t>,</w:t>
      </w:r>
      <w:r w:rsidRPr="00456761">
        <w:rPr>
          <w:rFonts w:ascii="Century Schoolbook" w:hAnsi="Century Schoolbook"/>
        </w:rPr>
        <w:t xml:space="preserve"> suman conjuntamente el 92,9% de la facturación global (91,5% en 2014).</w:t>
      </w:r>
    </w:p>
    <w:p w:rsidR="00AB4875" w:rsidRDefault="00AB4875" w:rsidP="00B1696B">
      <w:pPr>
        <w:spacing w:line="360" w:lineRule="auto"/>
        <w:jc w:val="both"/>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Por materias, el Texto no universitario sigue a la cabeza y acumula el 36,8% de la facturación total, ligeramente por encima de la cifra registrada en 2014, cuando alcanzó el 34,1%. La segunda materia que obtiene mayor cuota de facturación es Literatura, con un 19,5% del total (20,4% en 2014), seguida de Infantil y juvenil con un 11,5% (1 punto menos que en 2014) y Ciencias sociales y Humanidades con un</w:t>
      </w:r>
      <w:r w:rsidR="00AB4875">
        <w:rPr>
          <w:rFonts w:ascii="Century Schoolbook" w:hAnsi="Century Schoolbook"/>
        </w:rPr>
        <w:t xml:space="preserve"> </w:t>
      </w:r>
      <w:r w:rsidRPr="00456761">
        <w:rPr>
          <w:rFonts w:ascii="Century Schoolbook" w:hAnsi="Century Schoolbook"/>
        </w:rPr>
        <w:t xml:space="preserve">10,5% (10,8% en 2014). La suma de estas 4 materias alcanza el 78,3% del total de facturación en 2015, prácticamente la misma cifra que alcanzó en 2014 (77,8%). </w:t>
      </w:r>
    </w:p>
    <w:p w:rsidR="00B1696B" w:rsidRPr="00456761" w:rsidRDefault="00B1696B" w:rsidP="00B1696B">
      <w:pPr>
        <w:pStyle w:val="Prrafodelista"/>
        <w:spacing w:after="0" w:line="360" w:lineRule="auto"/>
        <w:rPr>
          <w:rFonts w:ascii="Century Schoolbook" w:hAnsi="Century Schoolbook"/>
        </w:rPr>
      </w:pPr>
    </w:p>
    <w:p w:rsidR="00B1696B" w:rsidRDefault="00B1696B" w:rsidP="00B1696B">
      <w:pPr>
        <w:pStyle w:val="Prrafodelista"/>
        <w:numPr>
          <w:ilvl w:val="0"/>
          <w:numId w:val="1"/>
        </w:numPr>
        <w:spacing w:after="0" w:line="360" w:lineRule="auto"/>
        <w:rPr>
          <w:rFonts w:ascii="Century Schoolbook" w:hAnsi="Century Schoolbook"/>
          <w:sz w:val="24"/>
          <w:szCs w:val="24"/>
        </w:rPr>
      </w:pPr>
      <w:r w:rsidRPr="00AB4875">
        <w:rPr>
          <w:rFonts w:ascii="Century Schoolbook" w:hAnsi="Century Schoolbook"/>
          <w:sz w:val="24"/>
          <w:szCs w:val="24"/>
        </w:rPr>
        <w:t xml:space="preserve">Los libros de Texto no universitario han aumentado 10,9% su facturación con respecto a 2014, con 830,31 millones de euros facturados. </w:t>
      </w:r>
    </w:p>
    <w:p w:rsidR="000241CF" w:rsidRPr="00AB4875" w:rsidRDefault="000241CF" w:rsidP="000241CF">
      <w:pPr>
        <w:pStyle w:val="Prrafodelista"/>
        <w:spacing w:after="0" w:line="360" w:lineRule="auto"/>
        <w:rPr>
          <w:rFonts w:ascii="Century Schoolbook" w:hAnsi="Century Schoolbook"/>
          <w:sz w:val="24"/>
          <w:szCs w:val="24"/>
        </w:rPr>
      </w:pPr>
    </w:p>
    <w:p w:rsidR="00B1696B" w:rsidRDefault="00B1696B" w:rsidP="00B1696B">
      <w:pPr>
        <w:pStyle w:val="Prrafodelista"/>
        <w:numPr>
          <w:ilvl w:val="0"/>
          <w:numId w:val="1"/>
        </w:numPr>
        <w:spacing w:after="0" w:line="360" w:lineRule="auto"/>
        <w:ind w:left="708"/>
        <w:rPr>
          <w:rFonts w:ascii="Century Schoolbook" w:hAnsi="Century Schoolbook"/>
          <w:sz w:val="24"/>
          <w:szCs w:val="24"/>
        </w:rPr>
      </w:pPr>
      <w:r w:rsidRPr="00456761">
        <w:rPr>
          <w:rFonts w:ascii="Century Schoolbook" w:hAnsi="Century Schoolbook"/>
          <w:sz w:val="24"/>
          <w:szCs w:val="24"/>
        </w:rPr>
        <w:t xml:space="preserve">La cifra de facturación para la materia Literatura en 2015 ha sido de 441,00 millones de euros, de los cuáles el 21,4% (94,57 millones de euros) se genera a través de la venta de libros de bolsillo. Dentro de la materia Literatura, el género novela genera el 90,57% de la facturación </w:t>
      </w:r>
      <w:r w:rsidRPr="00456761">
        <w:rPr>
          <w:rFonts w:ascii="Century Schoolbook" w:hAnsi="Century Schoolbook"/>
          <w:sz w:val="24"/>
          <w:szCs w:val="24"/>
        </w:rPr>
        <w:lastRenderedPageBreak/>
        <w:t xml:space="preserve">y vende el 87,7% de los ejemplares. A su vez, la Novela Contemporánea representa el 56,7% de la facturación de Novela. </w:t>
      </w:r>
    </w:p>
    <w:p w:rsidR="000241CF" w:rsidRPr="000241CF" w:rsidRDefault="000241CF" w:rsidP="000241CF">
      <w:pPr>
        <w:pStyle w:val="Prrafodelista"/>
        <w:rPr>
          <w:rFonts w:ascii="Century Schoolbook" w:hAnsi="Century Schoolbook"/>
          <w:sz w:val="24"/>
          <w:szCs w:val="24"/>
        </w:rPr>
      </w:pPr>
    </w:p>
    <w:p w:rsidR="00B1696B" w:rsidRDefault="00B1696B" w:rsidP="00B1696B">
      <w:pPr>
        <w:pStyle w:val="Prrafodelista"/>
        <w:numPr>
          <w:ilvl w:val="0"/>
          <w:numId w:val="1"/>
        </w:numPr>
        <w:spacing w:after="0" w:line="360" w:lineRule="auto"/>
        <w:rPr>
          <w:rFonts w:ascii="Century Schoolbook" w:hAnsi="Century Schoolbook"/>
          <w:sz w:val="24"/>
          <w:szCs w:val="24"/>
        </w:rPr>
      </w:pPr>
      <w:r w:rsidRPr="000241CF">
        <w:rPr>
          <w:rFonts w:ascii="Century Schoolbook" w:hAnsi="Century Schoolbook"/>
          <w:sz w:val="24"/>
          <w:szCs w:val="24"/>
        </w:rPr>
        <w:t xml:space="preserve">La materia Infantil y juvenil registra en 2015 un descenso en su facturación del 5,9%, con una cifra total de 258,82 millones. </w:t>
      </w:r>
    </w:p>
    <w:p w:rsidR="000241CF" w:rsidRPr="000241CF" w:rsidRDefault="000241CF" w:rsidP="000241CF">
      <w:pPr>
        <w:pStyle w:val="Prrafodelista"/>
        <w:rPr>
          <w:rFonts w:ascii="Century Schoolbook" w:hAnsi="Century Schoolbook"/>
          <w:sz w:val="24"/>
          <w:szCs w:val="24"/>
        </w:rPr>
      </w:pPr>
    </w:p>
    <w:p w:rsidR="00B1696B" w:rsidRDefault="00B1696B" w:rsidP="00B1696B">
      <w:pPr>
        <w:pStyle w:val="Prrafodelista"/>
        <w:numPr>
          <w:ilvl w:val="0"/>
          <w:numId w:val="1"/>
        </w:numPr>
        <w:spacing w:after="0" w:line="360" w:lineRule="auto"/>
        <w:rPr>
          <w:rFonts w:ascii="Century Schoolbook" w:hAnsi="Century Schoolbook"/>
          <w:sz w:val="24"/>
          <w:szCs w:val="24"/>
        </w:rPr>
      </w:pPr>
      <w:r w:rsidRPr="000241CF">
        <w:rPr>
          <w:rFonts w:ascii="Century Schoolbook" w:hAnsi="Century Schoolbook"/>
          <w:sz w:val="24"/>
          <w:szCs w:val="24"/>
        </w:rPr>
        <w:t xml:space="preserve">Los libros de texto no universitario aumentan un 10,9% su facturación con respecto a 2014, con 830,31 millones de euros facturados. </w:t>
      </w:r>
    </w:p>
    <w:p w:rsidR="000241CF" w:rsidRPr="000241CF" w:rsidRDefault="000241CF" w:rsidP="000241CF">
      <w:pPr>
        <w:pStyle w:val="Prrafodelista"/>
        <w:rPr>
          <w:rFonts w:ascii="Century Schoolbook" w:hAnsi="Century Schoolbook"/>
          <w:sz w:val="24"/>
          <w:szCs w:val="24"/>
        </w:rPr>
      </w:pPr>
    </w:p>
    <w:p w:rsidR="00B1696B" w:rsidRPr="00456761" w:rsidRDefault="00B1696B" w:rsidP="00B1696B">
      <w:pPr>
        <w:pStyle w:val="Prrafodelista"/>
        <w:numPr>
          <w:ilvl w:val="0"/>
          <w:numId w:val="1"/>
        </w:numPr>
        <w:spacing w:after="0" w:line="360" w:lineRule="auto"/>
        <w:rPr>
          <w:rFonts w:ascii="Century Schoolbook" w:hAnsi="Century Schoolbook"/>
          <w:sz w:val="24"/>
          <w:szCs w:val="24"/>
        </w:rPr>
      </w:pPr>
      <w:r w:rsidRPr="00456761">
        <w:rPr>
          <w:rFonts w:ascii="Century Schoolbook" w:hAnsi="Century Schoolbook"/>
          <w:sz w:val="24"/>
          <w:szCs w:val="24"/>
        </w:rPr>
        <w:t xml:space="preserve">Por la materia agrupada de Ciencias sociales y Humanidades se han facturado 237,51 millones de euros, un 10,5% más que en el ejercicio anterior. </w:t>
      </w:r>
    </w:p>
    <w:p w:rsidR="00B1696B" w:rsidRPr="00456761" w:rsidRDefault="00B1696B" w:rsidP="00B1696B">
      <w:pPr>
        <w:pStyle w:val="Prrafodelista"/>
        <w:rPr>
          <w:rFonts w:ascii="Century Schoolbook" w:hAnsi="Century Schoolbook"/>
          <w:sz w:val="24"/>
          <w:szCs w:val="24"/>
        </w:rPr>
      </w:pPr>
    </w:p>
    <w:p w:rsidR="000241CF" w:rsidRDefault="00B1696B" w:rsidP="00B1696B">
      <w:pPr>
        <w:pStyle w:val="Prrafodelista"/>
        <w:numPr>
          <w:ilvl w:val="0"/>
          <w:numId w:val="1"/>
        </w:numPr>
        <w:spacing w:after="0" w:line="360" w:lineRule="auto"/>
        <w:rPr>
          <w:rFonts w:ascii="Century Schoolbook" w:hAnsi="Century Schoolbook"/>
          <w:sz w:val="24"/>
          <w:szCs w:val="24"/>
        </w:rPr>
      </w:pPr>
      <w:r w:rsidRPr="00456761">
        <w:rPr>
          <w:rFonts w:ascii="Century Schoolbook" w:hAnsi="Century Schoolbook"/>
          <w:sz w:val="24"/>
          <w:szCs w:val="24"/>
        </w:rPr>
        <w:t xml:space="preserve">Científico técnico y universitario produce una cifra de negocio de 95,34 millones de </w:t>
      </w:r>
      <w:r w:rsidR="000241CF">
        <w:rPr>
          <w:rFonts w:ascii="Century Schoolbook" w:hAnsi="Century Schoolbook"/>
          <w:sz w:val="24"/>
          <w:szCs w:val="24"/>
        </w:rPr>
        <w:t>euros, un 16,5% más que en 2014.</w:t>
      </w:r>
    </w:p>
    <w:p w:rsidR="00B1696B" w:rsidRPr="00456761" w:rsidRDefault="00B1696B" w:rsidP="00B1696B">
      <w:pPr>
        <w:pStyle w:val="Prrafodelista"/>
        <w:rPr>
          <w:rFonts w:ascii="Century Schoolbook" w:hAnsi="Century Schoolbook"/>
          <w:sz w:val="24"/>
          <w:szCs w:val="24"/>
        </w:rPr>
      </w:pPr>
    </w:p>
    <w:p w:rsidR="000241CF" w:rsidRDefault="00B1696B" w:rsidP="00B1696B">
      <w:pPr>
        <w:pStyle w:val="Prrafodelista"/>
        <w:numPr>
          <w:ilvl w:val="0"/>
          <w:numId w:val="1"/>
        </w:numPr>
        <w:spacing w:after="0" w:line="360" w:lineRule="auto"/>
        <w:rPr>
          <w:rFonts w:ascii="Century Schoolbook" w:hAnsi="Century Schoolbook"/>
          <w:sz w:val="24"/>
          <w:szCs w:val="24"/>
        </w:rPr>
      </w:pPr>
      <w:r w:rsidRPr="00456761">
        <w:rPr>
          <w:rFonts w:ascii="Century Schoolbook" w:hAnsi="Century Schoolbook"/>
          <w:sz w:val="24"/>
          <w:szCs w:val="24"/>
        </w:rPr>
        <w:t>Los Libros prácticos, con 133,5 millones de euros facturados, disminuyen su facturación un 8,8%</w:t>
      </w:r>
      <w:r w:rsidR="000241CF">
        <w:rPr>
          <w:rFonts w:ascii="Century Schoolbook" w:hAnsi="Century Schoolbook"/>
          <w:sz w:val="24"/>
          <w:szCs w:val="24"/>
        </w:rPr>
        <w:t xml:space="preserve"> respecto al ejercicio anterior.</w:t>
      </w:r>
    </w:p>
    <w:p w:rsidR="000241CF" w:rsidRPr="000241CF" w:rsidRDefault="000241CF" w:rsidP="000241CF">
      <w:pPr>
        <w:pStyle w:val="Prrafodelista"/>
        <w:rPr>
          <w:rFonts w:ascii="Century Schoolbook" w:hAnsi="Century Schoolbook"/>
          <w:sz w:val="24"/>
          <w:szCs w:val="24"/>
        </w:rPr>
      </w:pPr>
    </w:p>
    <w:p w:rsidR="000241CF" w:rsidRDefault="00B1696B" w:rsidP="00B1696B">
      <w:pPr>
        <w:pStyle w:val="Prrafodelista"/>
        <w:numPr>
          <w:ilvl w:val="0"/>
          <w:numId w:val="1"/>
        </w:numPr>
        <w:spacing w:after="0" w:line="360" w:lineRule="auto"/>
        <w:rPr>
          <w:rFonts w:ascii="Century Schoolbook" w:hAnsi="Century Schoolbook"/>
          <w:sz w:val="24"/>
          <w:szCs w:val="24"/>
        </w:rPr>
      </w:pPr>
      <w:r w:rsidRPr="00456761">
        <w:rPr>
          <w:rFonts w:ascii="Century Schoolbook" w:hAnsi="Century Schoolbook"/>
          <w:sz w:val="24"/>
          <w:szCs w:val="24"/>
        </w:rPr>
        <w:t>Divulgación general factura un total de 134,72 millones de euros en 2015, un 1,0% menos que en el año anterior</w:t>
      </w:r>
      <w:r w:rsidR="000241CF">
        <w:rPr>
          <w:rFonts w:ascii="Century Schoolbook" w:hAnsi="Century Schoolbook"/>
          <w:sz w:val="24"/>
          <w:szCs w:val="24"/>
        </w:rPr>
        <w:t>.</w:t>
      </w:r>
    </w:p>
    <w:p w:rsidR="000241CF" w:rsidRPr="000241CF" w:rsidRDefault="000241CF" w:rsidP="000241CF">
      <w:pPr>
        <w:pStyle w:val="Prrafodelista"/>
        <w:rPr>
          <w:rFonts w:ascii="Century Schoolbook" w:hAnsi="Century Schoolbook"/>
          <w:sz w:val="24"/>
          <w:szCs w:val="24"/>
        </w:rPr>
      </w:pPr>
    </w:p>
    <w:p w:rsidR="00B1696B" w:rsidRDefault="00B1696B" w:rsidP="00B1696B">
      <w:pPr>
        <w:pStyle w:val="Prrafodelista"/>
        <w:numPr>
          <w:ilvl w:val="0"/>
          <w:numId w:val="1"/>
        </w:numPr>
        <w:spacing w:after="0" w:line="360" w:lineRule="auto"/>
        <w:rPr>
          <w:rFonts w:ascii="Century Schoolbook" w:hAnsi="Century Schoolbook"/>
          <w:sz w:val="24"/>
          <w:szCs w:val="24"/>
        </w:rPr>
      </w:pPr>
      <w:r w:rsidRPr="000241CF">
        <w:rPr>
          <w:rFonts w:ascii="Century Schoolbook" w:hAnsi="Century Schoolbook"/>
          <w:sz w:val="24"/>
          <w:szCs w:val="24"/>
        </w:rPr>
        <w:t xml:space="preserve"> Los Diccionarios y enciclopedias, con 40,92 millones de euros facturados (un 0,3% menos que el año anterior). </w:t>
      </w:r>
    </w:p>
    <w:p w:rsidR="000241CF" w:rsidRPr="000241CF" w:rsidRDefault="000241CF" w:rsidP="000241CF">
      <w:pPr>
        <w:pStyle w:val="Prrafodelista"/>
        <w:rPr>
          <w:rFonts w:ascii="Century Schoolbook" w:hAnsi="Century Schoolbook"/>
          <w:sz w:val="24"/>
          <w:szCs w:val="24"/>
        </w:rPr>
      </w:pPr>
    </w:p>
    <w:p w:rsidR="00B1696B" w:rsidRPr="00456761" w:rsidRDefault="00B1696B" w:rsidP="00B1696B">
      <w:pPr>
        <w:pStyle w:val="Prrafodelista"/>
        <w:numPr>
          <w:ilvl w:val="0"/>
          <w:numId w:val="1"/>
        </w:numPr>
        <w:spacing w:after="0" w:line="360" w:lineRule="auto"/>
        <w:rPr>
          <w:rFonts w:ascii="Century Schoolbook" w:hAnsi="Century Schoolbook"/>
          <w:sz w:val="24"/>
          <w:szCs w:val="24"/>
        </w:rPr>
      </w:pPr>
      <w:r w:rsidRPr="00456761">
        <w:rPr>
          <w:rFonts w:ascii="Century Schoolbook" w:hAnsi="Century Schoolbook"/>
          <w:sz w:val="24"/>
          <w:szCs w:val="24"/>
        </w:rPr>
        <w:t xml:space="preserve">Por la materia de Cómics se facturan 60,68 millones de euros, un 3,2% más que en 2014. </w:t>
      </w:r>
    </w:p>
    <w:p w:rsidR="00B1696B" w:rsidRPr="00456761" w:rsidRDefault="00B1696B" w:rsidP="00B1696B">
      <w:pPr>
        <w:spacing w:line="360" w:lineRule="auto"/>
        <w:rPr>
          <w:rFonts w:ascii="Century Schoolbook" w:hAnsi="Century Schoolbook"/>
          <w:color w:val="FF0000"/>
        </w:rPr>
      </w:pPr>
    </w:p>
    <w:p w:rsidR="00B1696B" w:rsidRPr="00456761" w:rsidRDefault="00B1696B" w:rsidP="00B1696B">
      <w:pPr>
        <w:spacing w:line="360" w:lineRule="auto"/>
        <w:rPr>
          <w:rFonts w:ascii="Century Schoolbook" w:hAnsi="Century Schoolbook"/>
        </w:rPr>
      </w:pPr>
      <w:r w:rsidRPr="00456761">
        <w:rPr>
          <w:rFonts w:ascii="Century Schoolbook" w:hAnsi="Century Schoolbook"/>
        </w:rPr>
        <w:t>En cuanto a los canales de comercialización de los libros:</w:t>
      </w:r>
    </w:p>
    <w:p w:rsidR="00B1696B" w:rsidRPr="00456761" w:rsidRDefault="00B1696B" w:rsidP="00B1696B">
      <w:pPr>
        <w:spacing w:line="360" w:lineRule="auto"/>
        <w:rPr>
          <w:rFonts w:ascii="Century Schoolbook" w:hAnsi="Century Schoolbook"/>
        </w:rPr>
      </w:pPr>
    </w:p>
    <w:p w:rsidR="00B1696B" w:rsidRDefault="00B1696B" w:rsidP="00B1696B">
      <w:pPr>
        <w:pStyle w:val="Prrafodelista"/>
        <w:numPr>
          <w:ilvl w:val="0"/>
          <w:numId w:val="2"/>
        </w:numPr>
        <w:spacing w:after="0" w:line="360" w:lineRule="auto"/>
        <w:rPr>
          <w:rFonts w:ascii="Century Schoolbook" w:hAnsi="Century Schoolbook"/>
          <w:sz w:val="24"/>
          <w:szCs w:val="24"/>
        </w:rPr>
      </w:pPr>
      <w:r w:rsidRPr="00456761">
        <w:rPr>
          <w:rFonts w:ascii="Century Schoolbook" w:hAnsi="Century Schoolbook"/>
          <w:sz w:val="24"/>
          <w:szCs w:val="24"/>
        </w:rPr>
        <w:t>Librerías y Cadenas de Librerías, que canalizan más de la mitad de la facturación global (el 52,6%), continúan siendo los principales canales de venta de libros.</w:t>
      </w:r>
    </w:p>
    <w:p w:rsidR="000241CF" w:rsidRDefault="000241CF" w:rsidP="000241CF">
      <w:pPr>
        <w:pStyle w:val="Prrafodelista"/>
        <w:spacing w:after="0" w:line="360" w:lineRule="auto"/>
        <w:rPr>
          <w:rFonts w:ascii="Century Schoolbook" w:hAnsi="Century Schoolbook"/>
          <w:sz w:val="24"/>
          <w:szCs w:val="24"/>
        </w:rPr>
      </w:pPr>
    </w:p>
    <w:p w:rsidR="00B1696B" w:rsidRDefault="00B1696B" w:rsidP="000241CF">
      <w:pPr>
        <w:pStyle w:val="Prrafodelista"/>
        <w:numPr>
          <w:ilvl w:val="0"/>
          <w:numId w:val="4"/>
        </w:numPr>
        <w:spacing w:after="0" w:line="360" w:lineRule="auto"/>
        <w:rPr>
          <w:rFonts w:ascii="Century Schoolbook" w:hAnsi="Century Schoolbook"/>
          <w:sz w:val="24"/>
          <w:szCs w:val="24"/>
        </w:rPr>
      </w:pPr>
      <w:r w:rsidRPr="000241CF">
        <w:rPr>
          <w:rFonts w:ascii="Century Schoolbook" w:hAnsi="Century Schoolbook"/>
          <w:sz w:val="24"/>
          <w:szCs w:val="24"/>
        </w:rPr>
        <w:lastRenderedPageBreak/>
        <w:t>Las Librerías, con una cifra de facturación de 788,37 millones de euros, aumentan un 7,1% respecto al año anterior</w:t>
      </w:r>
      <w:r w:rsidR="000241CF">
        <w:rPr>
          <w:rFonts w:ascii="Century Schoolbook" w:hAnsi="Century Schoolbook"/>
          <w:sz w:val="24"/>
          <w:szCs w:val="24"/>
        </w:rPr>
        <w:t>.</w:t>
      </w:r>
    </w:p>
    <w:p w:rsidR="00B1696B" w:rsidRPr="000241CF" w:rsidRDefault="00B1696B" w:rsidP="000241CF">
      <w:pPr>
        <w:pStyle w:val="Prrafodelista"/>
        <w:numPr>
          <w:ilvl w:val="0"/>
          <w:numId w:val="4"/>
        </w:numPr>
        <w:spacing w:after="0" w:line="360" w:lineRule="auto"/>
        <w:rPr>
          <w:rFonts w:ascii="Century Schoolbook" w:hAnsi="Century Schoolbook"/>
          <w:sz w:val="24"/>
          <w:szCs w:val="24"/>
        </w:rPr>
      </w:pPr>
      <w:r w:rsidRPr="000241CF">
        <w:rPr>
          <w:rFonts w:ascii="Century Schoolbook" w:hAnsi="Century Schoolbook"/>
          <w:sz w:val="24"/>
          <w:szCs w:val="24"/>
        </w:rPr>
        <w:t>Las Cadenas de Librerías facturan 398,88 millones, un 9,2% más que en 2014.</w:t>
      </w:r>
    </w:p>
    <w:p w:rsidR="00B1696B" w:rsidRPr="00456761" w:rsidRDefault="00B1696B" w:rsidP="00B1696B">
      <w:pPr>
        <w:pStyle w:val="Prrafodelista"/>
        <w:spacing w:after="0" w:line="360" w:lineRule="auto"/>
        <w:ind w:left="1440"/>
        <w:rPr>
          <w:rFonts w:ascii="Century Schoolbook" w:hAnsi="Century Schoolbook"/>
          <w:sz w:val="24"/>
          <w:szCs w:val="24"/>
        </w:rPr>
      </w:pPr>
    </w:p>
    <w:p w:rsidR="00B1696B" w:rsidRPr="000241CF" w:rsidRDefault="00B1696B" w:rsidP="00B1696B">
      <w:pPr>
        <w:pStyle w:val="Prrafodelista"/>
        <w:numPr>
          <w:ilvl w:val="0"/>
          <w:numId w:val="2"/>
        </w:numPr>
        <w:spacing w:after="0" w:line="360" w:lineRule="auto"/>
        <w:rPr>
          <w:rFonts w:ascii="Century Schoolbook" w:hAnsi="Century Schoolbook"/>
          <w:color w:val="FF0000"/>
          <w:sz w:val="24"/>
          <w:szCs w:val="24"/>
        </w:rPr>
      </w:pPr>
      <w:r w:rsidRPr="000241CF">
        <w:rPr>
          <w:rFonts w:ascii="Century Schoolbook" w:hAnsi="Century Schoolbook"/>
          <w:sz w:val="24"/>
          <w:szCs w:val="24"/>
        </w:rPr>
        <w:t xml:space="preserve">A través de los Hipermercados se venden libros por un valor de 182,91 millones de euros, un 1,5% menos que en 2014. </w:t>
      </w:r>
    </w:p>
    <w:p w:rsidR="000241CF" w:rsidRPr="000241CF" w:rsidRDefault="000241CF" w:rsidP="000241CF">
      <w:pPr>
        <w:pStyle w:val="Prrafodelista"/>
        <w:spacing w:after="0" w:line="360" w:lineRule="auto"/>
        <w:rPr>
          <w:rFonts w:ascii="Century Schoolbook" w:hAnsi="Century Schoolbook"/>
          <w:color w:val="FF0000"/>
          <w:sz w:val="24"/>
          <w:szCs w:val="24"/>
        </w:rPr>
      </w:pPr>
    </w:p>
    <w:p w:rsidR="00B1696B" w:rsidRPr="00456761" w:rsidRDefault="00B1696B" w:rsidP="00B1696B">
      <w:pPr>
        <w:pStyle w:val="Prrafodelista"/>
        <w:numPr>
          <w:ilvl w:val="0"/>
          <w:numId w:val="2"/>
        </w:numPr>
        <w:spacing w:after="0" w:line="360" w:lineRule="auto"/>
        <w:rPr>
          <w:rFonts w:ascii="Century Schoolbook" w:hAnsi="Century Schoolbook"/>
          <w:sz w:val="24"/>
          <w:szCs w:val="24"/>
        </w:rPr>
      </w:pPr>
      <w:r w:rsidRPr="00456761">
        <w:rPr>
          <w:rFonts w:ascii="Century Schoolbook" w:hAnsi="Century Schoolbook"/>
        </w:rPr>
        <w:t xml:space="preserve">La </w:t>
      </w:r>
      <w:r w:rsidRPr="00456761">
        <w:rPr>
          <w:rFonts w:ascii="Century Schoolbook" w:hAnsi="Century Schoolbook"/>
          <w:sz w:val="24"/>
          <w:szCs w:val="24"/>
        </w:rPr>
        <w:t>suma de estos tres canales minoristas, Librerías, Cadenas de Librerías e Hipermercados, reflejan que sus ventas han aum</w:t>
      </w:r>
      <w:r w:rsidR="000241CF">
        <w:rPr>
          <w:rFonts w:ascii="Century Schoolbook" w:hAnsi="Century Schoolbook"/>
          <w:sz w:val="24"/>
          <w:szCs w:val="24"/>
        </w:rPr>
        <w:t>entado un 6,5% en el último año.</w:t>
      </w:r>
    </w:p>
    <w:p w:rsidR="00B1696B" w:rsidRPr="00456761" w:rsidRDefault="00B1696B" w:rsidP="00B1696B">
      <w:pPr>
        <w:pStyle w:val="Prrafodelista"/>
        <w:rPr>
          <w:rFonts w:ascii="Century Schoolbook" w:hAnsi="Century Schoolbook"/>
          <w:sz w:val="24"/>
          <w:szCs w:val="24"/>
        </w:rPr>
      </w:pPr>
    </w:p>
    <w:p w:rsidR="00B1696B" w:rsidRPr="00456761" w:rsidRDefault="00B1696B" w:rsidP="00B1696B">
      <w:pPr>
        <w:pStyle w:val="Prrafodelista"/>
        <w:numPr>
          <w:ilvl w:val="0"/>
          <w:numId w:val="2"/>
        </w:numPr>
        <w:spacing w:after="0" w:line="360" w:lineRule="auto"/>
        <w:rPr>
          <w:rFonts w:ascii="Century Schoolbook" w:hAnsi="Century Schoolbook"/>
          <w:color w:val="FF0000"/>
          <w:sz w:val="24"/>
          <w:szCs w:val="24"/>
        </w:rPr>
      </w:pPr>
      <w:r w:rsidRPr="00456761">
        <w:rPr>
          <w:rFonts w:ascii="Century Schoolbook" w:hAnsi="Century Schoolbook"/>
          <w:sz w:val="24"/>
          <w:szCs w:val="24"/>
        </w:rPr>
        <w:t>La venta a través de Quioscos, Empresas e Instituciones y Bibliotecas se mantiene estable respecto al ejercicio anterior.</w:t>
      </w:r>
    </w:p>
    <w:p w:rsidR="00B1696B" w:rsidRPr="00456761" w:rsidRDefault="00B1696B" w:rsidP="00B1696B">
      <w:pPr>
        <w:pStyle w:val="Prrafodelista"/>
        <w:rPr>
          <w:rFonts w:ascii="Century Schoolbook" w:hAnsi="Century Schoolbook"/>
          <w:color w:val="FF0000"/>
          <w:sz w:val="24"/>
          <w:szCs w:val="24"/>
        </w:rPr>
      </w:pPr>
    </w:p>
    <w:p w:rsidR="00B1696B" w:rsidRDefault="00B1696B" w:rsidP="00B1696B">
      <w:pPr>
        <w:pStyle w:val="Prrafodelista"/>
        <w:numPr>
          <w:ilvl w:val="0"/>
          <w:numId w:val="2"/>
        </w:numPr>
        <w:spacing w:after="0" w:line="360" w:lineRule="auto"/>
        <w:rPr>
          <w:rFonts w:ascii="Century Schoolbook" w:hAnsi="Century Schoolbook"/>
          <w:sz w:val="24"/>
          <w:szCs w:val="24"/>
        </w:rPr>
      </w:pPr>
      <w:r w:rsidRPr="000241CF">
        <w:rPr>
          <w:rFonts w:ascii="Century Schoolbook" w:hAnsi="Century Schoolbook"/>
          <w:sz w:val="24"/>
          <w:szCs w:val="24"/>
        </w:rPr>
        <w:t>La venta al consumidor final de</w:t>
      </w:r>
      <w:r w:rsidR="000241CF">
        <w:rPr>
          <w:rFonts w:ascii="Century Schoolbook" w:hAnsi="Century Schoolbook"/>
          <w:sz w:val="24"/>
          <w:szCs w:val="24"/>
        </w:rPr>
        <w:t>sciende un 1,6% respecto a 2014.</w:t>
      </w:r>
    </w:p>
    <w:p w:rsidR="000241CF" w:rsidRPr="000241CF" w:rsidRDefault="000241CF" w:rsidP="000241CF">
      <w:pPr>
        <w:pStyle w:val="Prrafodelista"/>
        <w:rPr>
          <w:rFonts w:ascii="Century Schoolbook" w:hAnsi="Century Schoolbook"/>
          <w:sz w:val="24"/>
          <w:szCs w:val="24"/>
        </w:rPr>
      </w:pPr>
    </w:p>
    <w:p w:rsidR="00B1696B" w:rsidRPr="00456761" w:rsidRDefault="00B1696B" w:rsidP="00B1696B">
      <w:pPr>
        <w:pStyle w:val="Prrafodelista"/>
        <w:numPr>
          <w:ilvl w:val="0"/>
          <w:numId w:val="2"/>
        </w:numPr>
        <w:spacing w:after="0" w:line="360" w:lineRule="auto"/>
        <w:rPr>
          <w:rFonts w:ascii="Century Schoolbook" w:hAnsi="Century Schoolbook"/>
          <w:sz w:val="24"/>
          <w:szCs w:val="24"/>
        </w:rPr>
      </w:pPr>
      <w:r w:rsidRPr="00456761">
        <w:rPr>
          <w:rFonts w:ascii="Century Schoolbook" w:hAnsi="Century Schoolbook"/>
          <w:sz w:val="24"/>
          <w:szCs w:val="24"/>
        </w:rPr>
        <w:t>Un año más aumentan las ventas a través de los canales para libro electrónico. De la facturación total representa</w:t>
      </w:r>
      <w:r w:rsidR="00AC4B6F">
        <w:rPr>
          <w:rFonts w:ascii="Century Schoolbook" w:hAnsi="Century Schoolbook"/>
          <w:sz w:val="24"/>
          <w:szCs w:val="24"/>
        </w:rPr>
        <w:t>n</w:t>
      </w:r>
      <w:r w:rsidRPr="00456761">
        <w:rPr>
          <w:rFonts w:ascii="Century Schoolbook" w:hAnsi="Century Schoolbook"/>
          <w:sz w:val="24"/>
          <w:szCs w:val="24"/>
        </w:rPr>
        <w:t xml:space="preserve"> el 5,1% y han aumentado un 4,9% respecto al ejercicio ante</w:t>
      </w:r>
      <w:r w:rsidR="000241CF">
        <w:rPr>
          <w:rFonts w:ascii="Century Schoolbook" w:hAnsi="Century Schoolbook"/>
          <w:sz w:val="24"/>
          <w:szCs w:val="24"/>
        </w:rPr>
        <w:t>rior</w:t>
      </w:r>
      <w:r w:rsidRPr="00456761">
        <w:rPr>
          <w:rFonts w:ascii="Century Schoolbook" w:hAnsi="Century Schoolbook"/>
          <w:sz w:val="24"/>
          <w:szCs w:val="24"/>
        </w:rPr>
        <w:t>.</w:t>
      </w:r>
    </w:p>
    <w:p w:rsidR="00B1696B" w:rsidRPr="00456761" w:rsidRDefault="00B1696B" w:rsidP="00B1696B">
      <w:pPr>
        <w:spacing w:line="360" w:lineRule="auto"/>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La facturación del libro de bolsillo continúa reduciéndose. En año 2015, la facturación alcanzó los 94,57 millones de euros, un 9% menos</w:t>
      </w:r>
      <w:r w:rsidR="00AC4B6F">
        <w:rPr>
          <w:rFonts w:ascii="Century Schoolbook" w:hAnsi="Century Schoolbook"/>
        </w:rPr>
        <w:t xml:space="preserve"> que en el año 2014</w:t>
      </w:r>
      <w:r w:rsidRPr="00456761">
        <w:rPr>
          <w:rFonts w:ascii="Century Schoolbook" w:hAnsi="Century Schoolbook"/>
        </w:rPr>
        <w:t>, si bien el número de títulos editados se incrementó en un 16,5%, un total de 4.211 títulos. La tirada media de estos se redujo un 23,5%, hasta los 4.067 ejemplares por título. El número de ejemplares vendidos fue de 12,2 millones de ejemplares, un 15,3% menos</w:t>
      </w:r>
      <w:r w:rsidR="000241CF">
        <w:rPr>
          <w:rFonts w:ascii="Century Schoolbook" w:hAnsi="Century Schoolbook"/>
        </w:rPr>
        <w:t xml:space="preserve"> que en el ejercicio anterior.</w:t>
      </w:r>
    </w:p>
    <w:p w:rsidR="00B1696B" w:rsidRPr="00456761" w:rsidRDefault="00B1696B" w:rsidP="00B1696B">
      <w:pPr>
        <w:spacing w:line="360" w:lineRule="auto"/>
        <w:jc w:val="both"/>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La cifra de facturación de los libros de bolsillo representa el 4,2% de la facturación del comercio interio</w:t>
      </w:r>
      <w:r w:rsidR="00AC4B6F">
        <w:rPr>
          <w:rFonts w:ascii="Century Schoolbook" w:hAnsi="Century Schoolbook"/>
        </w:rPr>
        <w:t>r del libro</w:t>
      </w:r>
      <w:r w:rsidRPr="00456761">
        <w:rPr>
          <w:rFonts w:ascii="Century Schoolbook" w:hAnsi="Century Schoolbook"/>
        </w:rPr>
        <w:t xml:space="preserve"> y el 7,6% de los ejemplares editados. El precio medio de los libros en este formato fue de 7,76 euros.</w:t>
      </w:r>
    </w:p>
    <w:p w:rsidR="00B1696B" w:rsidRPr="00456761" w:rsidRDefault="00B1696B" w:rsidP="00B1696B">
      <w:pPr>
        <w:spacing w:line="360" w:lineRule="auto"/>
        <w:jc w:val="both"/>
        <w:rPr>
          <w:rFonts w:ascii="Century Schoolbook" w:hAnsi="Century Schoolbook"/>
        </w:rPr>
      </w:pPr>
    </w:p>
    <w:p w:rsidR="00B1696B" w:rsidRPr="00456761" w:rsidRDefault="00B1696B" w:rsidP="00B1696B">
      <w:pPr>
        <w:spacing w:line="360" w:lineRule="auto"/>
        <w:jc w:val="both"/>
        <w:rPr>
          <w:rFonts w:ascii="Century Schoolbook" w:hAnsi="Century Schoolbook"/>
        </w:rPr>
      </w:pPr>
    </w:p>
    <w:p w:rsidR="00B1696B" w:rsidRPr="00456761" w:rsidRDefault="00B1696B" w:rsidP="00B1696B">
      <w:pPr>
        <w:spacing w:line="360" w:lineRule="auto"/>
        <w:jc w:val="right"/>
        <w:rPr>
          <w:rFonts w:ascii="Century Schoolbook" w:hAnsi="Century Schoolbook"/>
        </w:rPr>
      </w:pPr>
      <w:r w:rsidRPr="00456761">
        <w:rPr>
          <w:rFonts w:ascii="Century Schoolbook" w:hAnsi="Century Schoolbook"/>
          <w:b/>
          <w:bCs/>
          <w:sz w:val="36"/>
          <w:szCs w:val="36"/>
          <w:u w:val="single"/>
          <w:lang w:val="es-ES_tradnl"/>
        </w:rPr>
        <w:lastRenderedPageBreak/>
        <w:t>Comercio Exterior del Libro</w:t>
      </w:r>
    </w:p>
    <w:p w:rsidR="00B1696B" w:rsidRPr="00456761" w:rsidRDefault="00B1696B" w:rsidP="00B1696B">
      <w:pPr>
        <w:rPr>
          <w:rFonts w:ascii="Century Schoolbook" w:hAnsi="Century Schoolbook"/>
        </w:rPr>
      </w:pPr>
    </w:p>
    <w:p w:rsidR="00B1696B" w:rsidRPr="00456761" w:rsidRDefault="00B1696B" w:rsidP="00B1696B">
      <w:pPr>
        <w:pStyle w:val="CM6"/>
        <w:spacing w:after="0" w:line="360" w:lineRule="auto"/>
        <w:jc w:val="both"/>
        <w:rPr>
          <w:rFonts w:ascii="Century Schoolbook" w:hAnsi="Century Schoolbook"/>
          <w:color w:val="000000"/>
        </w:rPr>
      </w:pPr>
      <w:r w:rsidRPr="00456761">
        <w:rPr>
          <w:rFonts w:ascii="Century Schoolbook" w:hAnsi="Century Schoolbook"/>
          <w:color w:val="000000"/>
        </w:rPr>
        <w:t xml:space="preserve">La </w:t>
      </w:r>
      <w:r w:rsidRPr="00456761">
        <w:rPr>
          <w:rFonts w:ascii="Century Schoolbook" w:hAnsi="Century Schoolbook"/>
          <w:bCs/>
          <w:color w:val="000000"/>
        </w:rPr>
        <w:t xml:space="preserve">Asociación de las Cámaras del Libro de España FEDECALI, </w:t>
      </w:r>
      <w:r w:rsidRPr="00456761">
        <w:rPr>
          <w:rFonts w:ascii="Century Schoolbook" w:hAnsi="Century Schoolbook"/>
          <w:bCs/>
          <w:lang w:val="es-ES_tradnl"/>
        </w:rPr>
        <w:t>heredera de la anterior Federación Española de Cámaras del Libro</w:t>
      </w:r>
      <w:r w:rsidRPr="00456761">
        <w:rPr>
          <w:rFonts w:ascii="Century Schoolbook" w:hAnsi="Century Schoolbook"/>
          <w:color w:val="000000"/>
        </w:rPr>
        <w:t>, compuesta por las Cámaras del Libro de Cataluña, Euskadi y Madrid, que, a su vez, agrupan los Sectores de Editores, Gráficos, Distribuidores y Libreros que pertenecen a sus re</w:t>
      </w:r>
      <w:r w:rsidR="00AC4B6F">
        <w:rPr>
          <w:rFonts w:ascii="Century Schoolbook" w:hAnsi="Century Schoolbook"/>
          <w:color w:val="000000"/>
        </w:rPr>
        <w:t>spectivos ámbitos territoriales</w:t>
      </w:r>
      <w:r w:rsidRPr="00456761">
        <w:rPr>
          <w:rFonts w:ascii="Century Schoolbook" w:hAnsi="Century Schoolbook"/>
          <w:color w:val="000000"/>
        </w:rPr>
        <w:t xml:space="preserve"> y cuyo Presidente es siempre el Presid</w:t>
      </w:r>
      <w:r w:rsidR="00AC4B6F">
        <w:rPr>
          <w:rFonts w:ascii="Century Schoolbook" w:hAnsi="Century Schoolbook"/>
          <w:color w:val="000000"/>
        </w:rPr>
        <w:t>ente de la Federación, elabora</w:t>
      </w:r>
      <w:r w:rsidRPr="00456761">
        <w:rPr>
          <w:rFonts w:ascii="Century Schoolbook" w:hAnsi="Century Schoolbook"/>
          <w:color w:val="000000"/>
        </w:rPr>
        <w:t xml:space="preserve"> desde hace más de veinte años el informe sobre el Comercio Exterior del Libro, referido a las operaciones de exportación e importación de mercancías que realizaban, y realizan, las empresas del mundo del libro asociadas a las Cámaras. Por su interés para el sector editorial español, explicamos a continuación brevemente los resultados de este estudio, referidos al ejercicio del año 2015 y que supone su vigésimo cuarta edición.</w:t>
      </w:r>
    </w:p>
    <w:p w:rsidR="00B1696B" w:rsidRPr="00456761" w:rsidRDefault="00B1696B" w:rsidP="00B1696B">
      <w:pPr>
        <w:spacing w:line="360" w:lineRule="auto"/>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En primer lugar, hay que señalar que el conjunto del sector del libro exportó mercancías por valor de 552,366 millones de euros (1,96% más que en 2014), correspondiendo al sector editorial 358,817 millones de euros (65%)  y 193,549 millones de euros al sector gráfico (35%). El sector editorial aumentó sus ventas un 3,28% y el sector gráfico redujo ligeramente sus exportaciones (0,41%).</w:t>
      </w:r>
    </w:p>
    <w:p w:rsidR="00B1696B" w:rsidRPr="00456761" w:rsidRDefault="00B1696B" w:rsidP="00B1696B">
      <w:pPr>
        <w:spacing w:line="360" w:lineRule="auto"/>
        <w:jc w:val="both"/>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Sobre las exportaciones de libros en el año 2015, el sector editorial exportó 311,49 millones de euros  (el 87% del total de sus exportaciones) y el sector gráfico 122,05 millones de euros (el 63% del total de sus exportaciones).</w:t>
      </w:r>
    </w:p>
    <w:p w:rsidR="00B1696B" w:rsidRPr="00456761" w:rsidRDefault="00B1696B" w:rsidP="00B1696B">
      <w:pPr>
        <w:spacing w:line="360" w:lineRule="auto"/>
        <w:jc w:val="both"/>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t xml:space="preserve">Asimismo, la importación sumó 227,98 millones de euros, correspondiendo a libros el 19% (43,92 millones de euros); el resto equivale a encargos de imprenta y coediciones (44%, 99,84 millones de euros), prensa y revistas (36%, 82,12 millones de euros) y otros productos (1%, 2,11 millones de euros). Esta importación supone un incremento del 8% con respecto al año 2014 (consecuencia del incremento de encargos de imprenta al exterior). </w:t>
      </w:r>
    </w:p>
    <w:p w:rsidR="00B1696B" w:rsidRPr="00456761" w:rsidRDefault="00B1696B" w:rsidP="00B1696B">
      <w:pPr>
        <w:spacing w:line="360" w:lineRule="auto"/>
        <w:jc w:val="both"/>
        <w:rPr>
          <w:rFonts w:ascii="Century Schoolbook" w:hAnsi="Century Schoolbook"/>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rPr>
        <w:lastRenderedPageBreak/>
        <w:t>Esto significa que el saldo de la balanza comercial, 324,39 millones de euros, volvió a ser positivo, como es tradicional dado el carácter exportador del libro español, a pesar de que se redujo un 1,42% respecto al año 2014.</w:t>
      </w:r>
    </w:p>
    <w:p w:rsidR="00B1696B" w:rsidRPr="00456761" w:rsidRDefault="00B1696B" w:rsidP="00B1696B">
      <w:pPr>
        <w:jc w:val="center"/>
        <w:rPr>
          <w:rFonts w:ascii="Century Schoolbook" w:hAnsi="Century Schoolbook"/>
          <w:b/>
          <w:bCs/>
          <w:lang w:val="es-ES_tradnl"/>
        </w:rPr>
      </w:pPr>
    </w:p>
    <w:p w:rsidR="00B1696B" w:rsidRPr="00456761" w:rsidRDefault="00B1696B" w:rsidP="00B1696B">
      <w:pPr>
        <w:jc w:val="center"/>
        <w:rPr>
          <w:rFonts w:ascii="Century Schoolbook" w:hAnsi="Century Schoolbook"/>
          <w:b/>
          <w:bCs/>
          <w:lang w:val="es-ES_tradnl"/>
        </w:rPr>
      </w:pPr>
    </w:p>
    <w:p w:rsidR="00B1696B" w:rsidRPr="00456761" w:rsidRDefault="00B1696B" w:rsidP="00B1696B">
      <w:pPr>
        <w:spacing w:line="360" w:lineRule="auto"/>
        <w:jc w:val="both"/>
        <w:rPr>
          <w:rFonts w:ascii="Century Schoolbook" w:hAnsi="Century Schoolbook"/>
          <w:bCs/>
        </w:rPr>
      </w:pPr>
      <w:r w:rsidRPr="00456761">
        <w:rPr>
          <w:rFonts w:ascii="Century Schoolbook" w:hAnsi="Century Schoolbook"/>
          <w:bCs/>
        </w:rPr>
        <w:t>A esas cantidades hay que sumar la venta de derechos que, en 2015, ascendió a 70,6 millones de euros, un 6,3% más con respecto a 2014.</w:t>
      </w:r>
    </w:p>
    <w:p w:rsidR="00B1696B" w:rsidRPr="00456761" w:rsidRDefault="00B1696B" w:rsidP="00B1696B">
      <w:pPr>
        <w:spacing w:line="360" w:lineRule="auto"/>
        <w:jc w:val="both"/>
        <w:rPr>
          <w:rFonts w:ascii="Century Schoolbook" w:hAnsi="Century Schoolbook"/>
          <w:bCs/>
        </w:rPr>
      </w:pP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lang w:val="es-ES_tradnl"/>
        </w:rPr>
        <w:t xml:space="preserve">Europa y América siguen siendo los principales mercados del sector del libro español. Las exportaciones europeas crecieron un 4,16% en 2015, hasta los 347 millones de euros. En cuanto a las destinadas a América, también tuvieron un incremento del 1,90%, alcanzando los 186 millones de euros. Hay que señalar, no obstante, que una parte de las ventas de editoriales españolas en América se hacen a través de sus filiales en países iberoamericanos y que, por lo tanto, no computan como exportaciones. Las exportaciones a otros continentes han decrecido. </w:t>
      </w: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lang w:val="es-ES_tradnl"/>
        </w:rPr>
        <w:t> </w:t>
      </w:r>
    </w:p>
    <w:p w:rsidR="00B1696B" w:rsidRPr="00456761" w:rsidRDefault="00B1696B" w:rsidP="00B1696B">
      <w:pPr>
        <w:spacing w:line="360" w:lineRule="auto"/>
        <w:jc w:val="both"/>
        <w:rPr>
          <w:rFonts w:ascii="Century Schoolbook" w:hAnsi="Century Schoolbook"/>
        </w:rPr>
      </w:pPr>
      <w:r w:rsidRPr="00456761">
        <w:rPr>
          <w:rFonts w:ascii="Century Schoolbook" w:hAnsi="Century Schoolbook"/>
          <w:lang w:val="es-ES_tradnl"/>
        </w:rPr>
        <w:t>Entre los principales mercados de las exportaciones destaca</w:t>
      </w:r>
      <w:r w:rsidR="00AC4B6F">
        <w:rPr>
          <w:rFonts w:ascii="Century Schoolbook" w:hAnsi="Century Schoolbook"/>
          <w:lang w:val="es-ES_tradnl"/>
        </w:rPr>
        <w:t>n</w:t>
      </w:r>
      <w:r w:rsidRPr="00456761">
        <w:rPr>
          <w:rFonts w:ascii="Century Schoolbook" w:hAnsi="Century Schoolbook"/>
          <w:lang w:val="es-ES_tradnl"/>
        </w:rPr>
        <w:t xml:space="preserve"> Francia (151,04 millones de euros), si bien ha registrado un descen</w:t>
      </w:r>
      <w:r w:rsidR="00AC4B6F">
        <w:rPr>
          <w:rFonts w:ascii="Century Schoolbook" w:hAnsi="Century Schoolbook"/>
          <w:lang w:val="es-ES_tradnl"/>
        </w:rPr>
        <w:t>so con respecto al año anterior,</w:t>
      </w:r>
      <w:r w:rsidRPr="00456761">
        <w:rPr>
          <w:rFonts w:ascii="Century Schoolbook" w:hAnsi="Century Schoolbook"/>
          <w:lang w:val="es-ES_tradnl"/>
        </w:rPr>
        <w:t xml:space="preserve"> Portugal (67,06 millones de euros), que incrementó su factura, lo mismo que México (61,40 millones de euros) y Reino Unido (48,79 millones de euros). También Italia compró más libros a las editoriales españolas hasta los 23,10 millones de euros.</w:t>
      </w:r>
    </w:p>
    <w:p w:rsidR="00B1696B" w:rsidRPr="00456761" w:rsidRDefault="00B1696B" w:rsidP="00B1696B">
      <w:pPr>
        <w:rPr>
          <w:rFonts w:ascii="Century Schoolbook" w:hAnsi="Century Schoolbook"/>
          <w:b/>
          <w:bCs/>
        </w:rPr>
      </w:pPr>
    </w:p>
    <w:p w:rsidR="00B1696B" w:rsidRPr="00456761" w:rsidRDefault="00B1696B" w:rsidP="00B1696B">
      <w:pPr>
        <w:rPr>
          <w:rFonts w:ascii="Century Schoolbook" w:hAnsi="Century Schoolbook"/>
        </w:rPr>
      </w:pPr>
      <w:r w:rsidRPr="00456761">
        <w:rPr>
          <w:rFonts w:ascii="Century Schoolbook" w:hAnsi="Century Schoolbook"/>
        </w:rPr>
        <w:t>En conclusión:</w:t>
      </w:r>
    </w:p>
    <w:p w:rsidR="00B1696B" w:rsidRPr="00456761" w:rsidRDefault="00B1696B" w:rsidP="00B1696B">
      <w:pPr>
        <w:rPr>
          <w:rFonts w:ascii="Century Schoolbook" w:hAnsi="Century Schoolbook"/>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La exportación del Sector del Libro aumenta un 1,96%.</w:t>
      </w:r>
    </w:p>
    <w:p w:rsidR="00B1696B" w:rsidRPr="00456761" w:rsidRDefault="00B1696B" w:rsidP="00B1696B">
      <w:pPr>
        <w:pStyle w:val="Prrafodelista"/>
        <w:autoSpaceDE w:val="0"/>
        <w:autoSpaceDN w:val="0"/>
        <w:adjustRightInd w:val="0"/>
        <w:spacing w:line="360" w:lineRule="auto"/>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América sigue siendo el mercado fundamental para las empresas editoriales exportadoras del sector del libro.</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La Unión Europea continúa siendo el primer destino de las exportaciones del Sector del Libro.</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lastRenderedPageBreak/>
        <w:t>La exportación del libro tradicional mantiene su buen comportamiento en Europa.</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La exportación de coleccionables y material de quiosco incrementa su cifra de negocio en un 7,96%.</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Se mantiene la exportación de manuales de español para extranjeros, fruto de las acciones específicas de promoción llevadas a cabo por el sector.</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Norteamérica sigue afianzándose como uno de los mercados más importantes para nuestros libros. Pese a que las cifras de exportación directa a ese destino han sufrido un apreciable descenso en la última década, las empresas españolas han aumentado su presencia en dicho mercado mediante envíos desde países iberoamericanos y exportaciones indirectas desde China.</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Aumenta la cifra de importación un 11,88%. Aumenta la cifra de encargos de imprenta realizados a países del Extremo Oriente un 8,74%. Recordemos que casi el 37% de nuestras importaciones son de prensa y revistas</w:t>
      </w:r>
      <w:bookmarkStart w:id="0" w:name="_GoBack"/>
      <w:bookmarkEnd w:id="0"/>
      <w:r w:rsidRPr="00456761">
        <w:rPr>
          <w:rFonts w:ascii="Century Schoolbook" w:eastAsiaTheme="minorHAnsi" w:hAnsi="Century Schoolbook"/>
          <w:sz w:val="24"/>
          <w:szCs w:val="24"/>
        </w:rPr>
        <w:t xml:space="preserve"> y el 43% son encargos de imprenta y coediciones.</w:t>
      </w:r>
    </w:p>
    <w:p w:rsidR="00B1696B" w:rsidRPr="00456761" w:rsidRDefault="00B1696B" w:rsidP="00B1696B">
      <w:pPr>
        <w:pStyle w:val="Prrafodelista"/>
        <w:rPr>
          <w:rFonts w:ascii="Century Schoolbook" w:eastAsiaTheme="minorHAnsi" w:hAnsi="Century Schoolbook"/>
          <w:sz w:val="24"/>
          <w:szCs w:val="24"/>
        </w:rPr>
      </w:pPr>
    </w:p>
    <w:p w:rsidR="00B1696B" w:rsidRPr="00456761" w:rsidRDefault="00B1696B" w:rsidP="00B1696B">
      <w:pPr>
        <w:pStyle w:val="Prrafodelista"/>
        <w:numPr>
          <w:ilvl w:val="0"/>
          <w:numId w:val="3"/>
        </w:numPr>
        <w:autoSpaceDE w:val="0"/>
        <w:autoSpaceDN w:val="0"/>
        <w:adjustRightInd w:val="0"/>
        <w:spacing w:line="360" w:lineRule="auto"/>
        <w:rPr>
          <w:rFonts w:ascii="Century Schoolbook" w:eastAsiaTheme="minorHAnsi" w:hAnsi="Century Schoolbook"/>
          <w:sz w:val="24"/>
          <w:szCs w:val="24"/>
        </w:rPr>
      </w:pPr>
      <w:r w:rsidRPr="00456761">
        <w:rPr>
          <w:rFonts w:ascii="Century Schoolbook" w:eastAsiaTheme="minorHAnsi" w:hAnsi="Century Schoolbook"/>
          <w:sz w:val="24"/>
          <w:szCs w:val="24"/>
        </w:rPr>
        <w:t>El saldo comercial del sector del libro sigue siendo muy positivo, alcanzando en 2015 trescientos veinticuatro millones de euros.</w:t>
      </w:r>
    </w:p>
    <w:p w:rsidR="00FB58B7" w:rsidRPr="005677D9" w:rsidRDefault="00FB58B7" w:rsidP="005677D9">
      <w:pPr>
        <w:rPr>
          <w:rFonts w:ascii="Century Schoolbook" w:eastAsiaTheme="minorHAnsi" w:hAnsi="Century Schoolbook"/>
          <w:lang w:eastAsia="en-US"/>
        </w:rPr>
      </w:pPr>
    </w:p>
    <w:sectPr w:rsidR="00FB58B7" w:rsidRPr="005677D9" w:rsidSect="00BE3AD0">
      <w:footerReference w:type="default" r:id="rId8"/>
      <w:pgSz w:w="11906" w:h="16838"/>
      <w:pgMar w:top="1417" w:right="141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C9" w:rsidRDefault="00E62CC9" w:rsidP="00E62CC9">
      <w:r>
        <w:separator/>
      </w:r>
    </w:p>
  </w:endnote>
  <w:endnote w:type="continuationSeparator" w:id="0">
    <w:p w:rsidR="00E62CC9" w:rsidRDefault="00E62CC9" w:rsidP="00E6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80237"/>
      <w:docPartObj>
        <w:docPartGallery w:val="Page Numbers (Bottom of Page)"/>
        <w:docPartUnique/>
      </w:docPartObj>
    </w:sdtPr>
    <w:sdtEndPr/>
    <w:sdtContent>
      <w:p w:rsidR="00E62CC9" w:rsidRDefault="00E62CC9">
        <w:pPr>
          <w:pStyle w:val="Piedepgina"/>
          <w:jc w:val="right"/>
        </w:pPr>
        <w:r>
          <w:fldChar w:fldCharType="begin"/>
        </w:r>
        <w:r>
          <w:instrText>PAGE   \* MERGEFORMAT</w:instrText>
        </w:r>
        <w:r>
          <w:fldChar w:fldCharType="separate"/>
        </w:r>
        <w:r w:rsidR="00AC4B6F">
          <w:rPr>
            <w:noProof/>
          </w:rPr>
          <w:t>8</w:t>
        </w:r>
        <w:r>
          <w:fldChar w:fldCharType="end"/>
        </w:r>
      </w:p>
    </w:sdtContent>
  </w:sdt>
  <w:p w:rsidR="00E62CC9" w:rsidRDefault="00E62C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C9" w:rsidRDefault="00E62CC9" w:rsidP="00E62CC9">
      <w:r>
        <w:separator/>
      </w:r>
    </w:p>
  </w:footnote>
  <w:footnote w:type="continuationSeparator" w:id="0">
    <w:p w:rsidR="00E62CC9" w:rsidRDefault="00E62CC9" w:rsidP="00E62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7CE"/>
    <w:multiLevelType w:val="hybridMultilevel"/>
    <w:tmpl w:val="607A94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F9206EF"/>
    <w:multiLevelType w:val="hybridMultilevel"/>
    <w:tmpl w:val="4BA09C58"/>
    <w:lvl w:ilvl="0" w:tplc="1562B500">
      <w:start w:val="1"/>
      <w:numFmt w:val="bullet"/>
      <w:lvlText w:val=""/>
      <w:lvlJc w:val="left"/>
      <w:pPr>
        <w:ind w:left="720" w:hanging="360"/>
      </w:pPr>
      <w:rPr>
        <w:rFonts w:ascii="Symbol" w:hAnsi="Symbol" w:hint="default"/>
        <w:color w:val="auto"/>
      </w:rPr>
    </w:lvl>
    <w:lvl w:ilvl="1" w:tplc="7626F4F8">
      <w:start w:val="1"/>
      <w:numFmt w:val="bullet"/>
      <w:lvlText w:val="o"/>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0A3FCA"/>
    <w:multiLevelType w:val="hybridMultilevel"/>
    <w:tmpl w:val="A4469CF2"/>
    <w:lvl w:ilvl="0" w:tplc="943A075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4D3E6C"/>
    <w:multiLevelType w:val="hybridMultilevel"/>
    <w:tmpl w:val="CE52D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6B"/>
    <w:rsid w:val="000241CF"/>
    <w:rsid w:val="000E59CD"/>
    <w:rsid w:val="00456761"/>
    <w:rsid w:val="005677D9"/>
    <w:rsid w:val="00AB4875"/>
    <w:rsid w:val="00AC4B6F"/>
    <w:rsid w:val="00B1696B"/>
    <w:rsid w:val="00BE3AD0"/>
    <w:rsid w:val="00E62CC9"/>
    <w:rsid w:val="00EE267A"/>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6B"/>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B1696B"/>
    <w:pPr>
      <w:keepNext/>
      <w:keepLines/>
      <w:spacing w:line="360" w:lineRule="auto"/>
      <w:jc w:val="both"/>
      <w:outlineLvl w:val="0"/>
    </w:pPr>
    <w:rPr>
      <w:bCs/>
      <w:sz w:val="22"/>
      <w:szCs w:val="22"/>
      <w:u w:val="single"/>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696B"/>
    <w:rPr>
      <w:rFonts w:ascii="Times New Roman" w:eastAsia="Times New Roman" w:hAnsi="Times New Roman" w:cs="Times New Roman"/>
      <w:bCs/>
      <w:u w:val="single"/>
    </w:rPr>
  </w:style>
  <w:style w:type="paragraph" w:styleId="Prrafodelista">
    <w:name w:val="List Paragraph"/>
    <w:basedOn w:val="Normal"/>
    <w:uiPriority w:val="34"/>
    <w:qFormat/>
    <w:rsid w:val="00B1696B"/>
    <w:pPr>
      <w:spacing w:after="200" w:line="276" w:lineRule="auto"/>
      <w:ind w:left="720"/>
      <w:contextualSpacing/>
      <w:jc w:val="both"/>
    </w:pPr>
    <w:rPr>
      <w:rFonts w:ascii="Gill Sans MT" w:eastAsia="Gill Sans MT" w:hAnsi="Gill Sans MT"/>
      <w:sz w:val="22"/>
      <w:szCs w:val="22"/>
      <w:lang w:eastAsia="en-US"/>
    </w:rPr>
  </w:style>
  <w:style w:type="paragraph" w:customStyle="1" w:styleId="CabeceraTablayGrfico">
    <w:name w:val="Cabecera Tabla y Gráfico"/>
    <w:basedOn w:val="Normal"/>
    <w:link w:val="CabeceraTablayGrficoCar"/>
    <w:qFormat/>
    <w:rsid w:val="00B1696B"/>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B1696B"/>
    <w:rPr>
      <w:rFonts w:ascii="Gill Sans MT" w:eastAsia="Times New Roman" w:hAnsi="Gill Sans MT" w:cs="Times New Roman"/>
      <w:sz w:val="20"/>
    </w:rPr>
  </w:style>
  <w:style w:type="paragraph" w:customStyle="1" w:styleId="Notaalpie">
    <w:name w:val="Nota al pie"/>
    <w:basedOn w:val="Textonotapie"/>
    <w:link w:val="NotaalpieCar"/>
    <w:qFormat/>
    <w:rsid w:val="00B1696B"/>
    <w:pPr>
      <w:jc w:val="both"/>
    </w:pPr>
    <w:rPr>
      <w:rFonts w:ascii="Gill Sans MT" w:hAnsi="Gill Sans MT"/>
      <w:sz w:val="18"/>
    </w:rPr>
  </w:style>
  <w:style w:type="character" w:customStyle="1" w:styleId="NotaalpieCar">
    <w:name w:val="Nota al pie Car"/>
    <w:basedOn w:val="TextonotapieCar"/>
    <w:link w:val="Notaalpie"/>
    <w:locked/>
    <w:rsid w:val="00B1696B"/>
    <w:rPr>
      <w:rFonts w:ascii="Gill Sans MT" w:eastAsia="Times New Roman" w:hAnsi="Gill Sans MT" w:cs="Times New Roman"/>
      <w:sz w:val="18"/>
      <w:szCs w:val="20"/>
      <w:lang w:eastAsia="es-ES"/>
    </w:rPr>
  </w:style>
  <w:style w:type="paragraph" w:styleId="Textonotapie">
    <w:name w:val="footnote text"/>
    <w:basedOn w:val="Normal"/>
    <w:link w:val="TextonotapieCar"/>
    <w:uiPriority w:val="99"/>
    <w:semiHidden/>
    <w:unhideWhenUsed/>
    <w:rsid w:val="00B1696B"/>
    <w:rPr>
      <w:sz w:val="20"/>
      <w:szCs w:val="20"/>
    </w:rPr>
  </w:style>
  <w:style w:type="character" w:customStyle="1" w:styleId="TextonotapieCar">
    <w:name w:val="Texto nota pie Car"/>
    <w:basedOn w:val="Fuentedeprrafopredeter"/>
    <w:link w:val="Textonotapie"/>
    <w:uiPriority w:val="99"/>
    <w:semiHidden/>
    <w:rsid w:val="00B1696B"/>
    <w:rPr>
      <w:rFonts w:ascii="Times New Roman" w:eastAsia="Times New Roman" w:hAnsi="Times New Roman" w:cs="Times New Roman"/>
      <w:sz w:val="20"/>
      <w:szCs w:val="20"/>
      <w:lang w:eastAsia="es-ES"/>
    </w:rPr>
  </w:style>
  <w:style w:type="paragraph" w:customStyle="1" w:styleId="CM6">
    <w:name w:val="CM6"/>
    <w:basedOn w:val="Normal"/>
    <w:next w:val="Normal"/>
    <w:rsid w:val="00B1696B"/>
    <w:pPr>
      <w:widowControl w:val="0"/>
      <w:autoSpaceDE w:val="0"/>
      <w:autoSpaceDN w:val="0"/>
      <w:adjustRightInd w:val="0"/>
      <w:spacing w:after="500"/>
    </w:pPr>
    <w:rPr>
      <w:rFonts w:ascii="Arial" w:hAnsi="Arial"/>
    </w:rPr>
  </w:style>
  <w:style w:type="paragraph" w:styleId="Textodeglobo">
    <w:name w:val="Balloon Text"/>
    <w:basedOn w:val="Normal"/>
    <w:link w:val="TextodegloboCar"/>
    <w:uiPriority w:val="99"/>
    <w:semiHidden/>
    <w:unhideWhenUsed/>
    <w:rsid w:val="00B1696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96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62CC9"/>
    <w:pPr>
      <w:tabs>
        <w:tab w:val="center" w:pos="4252"/>
        <w:tab w:val="right" w:pos="8504"/>
      </w:tabs>
    </w:pPr>
  </w:style>
  <w:style w:type="character" w:customStyle="1" w:styleId="EncabezadoCar">
    <w:name w:val="Encabezado Car"/>
    <w:basedOn w:val="Fuentedeprrafopredeter"/>
    <w:link w:val="Encabezado"/>
    <w:uiPriority w:val="99"/>
    <w:rsid w:val="00E62C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62CC9"/>
    <w:pPr>
      <w:tabs>
        <w:tab w:val="center" w:pos="4252"/>
        <w:tab w:val="right" w:pos="8504"/>
      </w:tabs>
    </w:pPr>
  </w:style>
  <w:style w:type="character" w:customStyle="1" w:styleId="PiedepginaCar">
    <w:name w:val="Pie de página Car"/>
    <w:basedOn w:val="Fuentedeprrafopredeter"/>
    <w:link w:val="Piedepgina"/>
    <w:uiPriority w:val="99"/>
    <w:rsid w:val="00E62CC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6B"/>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B1696B"/>
    <w:pPr>
      <w:keepNext/>
      <w:keepLines/>
      <w:spacing w:line="360" w:lineRule="auto"/>
      <w:jc w:val="both"/>
      <w:outlineLvl w:val="0"/>
    </w:pPr>
    <w:rPr>
      <w:bCs/>
      <w:sz w:val="22"/>
      <w:szCs w:val="22"/>
      <w:u w:val="single"/>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696B"/>
    <w:rPr>
      <w:rFonts w:ascii="Times New Roman" w:eastAsia="Times New Roman" w:hAnsi="Times New Roman" w:cs="Times New Roman"/>
      <w:bCs/>
      <w:u w:val="single"/>
    </w:rPr>
  </w:style>
  <w:style w:type="paragraph" w:styleId="Prrafodelista">
    <w:name w:val="List Paragraph"/>
    <w:basedOn w:val="Normal"/>
    <w:uiPriority w:val="34"/>
    <w:qFormat/>
    <w:rsid w:val="00B1696B"/>
    <w:pPr>
      <w:spacing w:after="200" w:line="276" w:lineRule="auto"/>
      <w:ind w:left="720"/>
      <w:contextualSpacing/>
      <w:jc w:val="both"/>
    </w:pPr>
    <w:rPr>
      <w:rFonts w:ascii="Gill Sans MT" w:eastAsia="Gill Sans MT" w:hAnsi="Gill Sans MT"/>
      <w:sz w:val="22"/>
      <w:szCs w:val="22"/>
      <w:lang w:eastAsia="en-US"/>
    </w:rPr>
  </w:style>
  <w:style w:type="paragraph" w:customStyle="1" w:styleId="CabeceraTablayGrfico">
    <w:name w:val="Cabecera Tabla y Gráfico"/>
    <w:basedOn w:val="Normal"/>
    <w:link w:val="CabeceraTablayGrficoCar"/>
    <w:qFormat/>
    <w:rsid w:val="00B1696B"/>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B1696B"/>
    <w:rPr>
      <w:rFonts w:ascii="Gill Sans MT" w:eastAsia="Times New Roman" w:hAnsi="Gill Sans MT" w:cs="Times New Roman"/>
      <w:sz w:val="20"/>
    </w:rPr>
  </w:style>
  <w:style w:type="paragraph" w:customStyle="1" w:styleId="Notaalpie">
    <w:name w:val="Nota al pie"/>
    <w:basedOn w:val="Textonotapie"/>
    <w:link w:val="NotaalpieCar"/>
    <w:qFormat/>
    <w:rsid w:val="00B1696B"/>
    <w:pPr>
      <w:jc w:val="both"/>
    </w:pPr>
    <w:rPr>
      <w:rFonts w:ascii="Gill Sans MT" w:hAnsi="Gill Sans MT"/>
      <w:sz w:val="18"/>
    </w:rPr>
  </w:style>
  <w:style w:type="character" w:customStyle="1" w:styleId="NotaalpieCar">
    <w:name w:val="Nota al pie Car"/>
    <w:basedOn w:val="TextonotapieCar"/>
    <w:link w:val="Notaalpie"/>
    <w:locked/>
    <w:rsid w:val="00B1696B"/>
    <w:rPr>
      <w:rFonts w:ascii="Gill Sans MT" w:eastAsia="Times New Roman" w:hAnsi="Gill Sans MT" w:cs="Times New Roman"/>
      <w:sz w:val="18"/>
      <w:szCs w:val="20"/>
      <w:lang w:eastAsia="es-ES"/>
    </w:rPr>
  </w:style>
  <w:style w:type="paragraph" w:styleId="Textonotapie">
    <w:name w:val="footnote text"/>
    <w:basedOn w:val="Normal"/>
    <w:link w:val="TextonotapieCar"/>
    <w:uiPriority w:val="99"/>
    <w:semiHidden/>
    <w:unhideWhenUsed/>
    <w:rsid w:val="00B1696B"/>
    <w:rPr>
      <w:sz w:val="20"/>
      <w:szCs w:val="20"/>
    </w:rPr>
  </w:style>
  <w:style w:type="character" w:customStyle="1" w:styleId="TextonotapieCar">
    <w:name w:val="Texto nota pie Car"/>
    <w:basedOn w:val="Fuentedeprrafopredeter"/>
    <w:link w:val="Textonotapie"/>
    <w:uiPriority w:val="99"/>
    <w:semiHidden/>
    <w:rsid w:val="00B1696B"/>
    <w:rPr>
      <w:rFonts w:ascii="Times New Roman" w:eastAsia="Times New Roman" w:hAnsi="Times New Roman" w:cs="Times New Roman"/>
      <w:sz w:val="20"/>
      <w:szCs w:val="20"/>
      <w:lang w:eastAsia="es-ES"/>
    </w:rPr>
  </w:style>
  <w:style w:type="paragraph" w:customStyle="1" w:styleId="CM6">
    <w:name w:val="CM6"/>
    <w:basedOn w:val="Normal"/>
    <w:next w:val="Normal"/>
    <w:rsid w:val="00B1696B"/>
    <w:pPr>
      <w:widowControl w:val="0"/>
      <w:autoSpaceDE w:val="0"/>
      <w:autoSpaceDN w:val="0"/>
      <w:adjustRightInd w:val="0"/>
      <w:spacing w:after="500"/>
    </w:pPr>
    <w:rPr>
      <w:rFonts w:ascii="Arial" w:hAnsi="Arial"/>
    </w:rPr>
  </w:style>
  <w:style w:type="paragraph" w:styleId="Textodeglobo">
    <w:name w:val="Balloon Text"/>
    <w:basedOn w:val="Normal"/>
    <w:link w:val="TextodegloboCar"/>
    <w:uiPriority w:val="99"/>
    <w:semiHidden/>
    <w:unhideWhenUsed/>
    <w:rsid w:val="00B1696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96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62CC9"/>
    <w:pPr>
      <w:tabs>
        <w:tab w:val="center" w:pos="4252"/>
        <w:tab w:val="right" w:pos="8504"/>
      </w:tabs>
    </w:pPr>
  </w:style>
  <w:style w:type="character" w:customStyle="1" w:styleId="EncabezadoCar">
    <w:name w:val="Encabezado Car"/>
    <w:basedOn w:val="Fuentedeprrafopredeter"/>
    <w:link w:val="Encabezado"/>
    <w:uiPriority w:val="99"/>
    <w:rsid w:val="00E62C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62CC9"/>
    <w:pPr>
      <w:tabs>
        <w:tab w:val="center" w:pos="4252"/>
        <w:tab w:val="right" w:pos="8504"/>
      </w:tabs>
    </w:pPr>
  </w:style>
  <w:style w:type="character" w:customStyle="1" w:styleId="PiedepginaCar">
    <w:name w:val="Pie de página Car"/>
    <w:basedOn w:val="Fuentedeprrafopredeter"/>
    <w:link w:val="Piedepgina"/>
    <w:uiPriority w:val="99"/>
    <w:rsid w:val="00E62CC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1685</Words>
  <Characters>9272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6</cp:revision>
  <cp:lastPrinted>2017-02-17T06:37:00Z</cp:lastPrinted>
  <dcterms:created xsi:type="dcterms:W3CDTF">2017-02-16T11:52:00Z</dcterms:created>
  <dcterms:modified xsi:type="dcterms:W3CDTF">2017-02-17T06:47:00Z</dcterms:modified>
</cp:coreProperties>
</file>